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5198433"/>
        <w:docPartObj>
          <w:docPartGallery w:val="Cover Pages"/>
          <w:docPartUnique/>
        </w:docPartObj>
      </w:sdtPr>
      <w:sdtEndPr>
        <w:rPr>
          <w:rFonts w:asciiTheme="majorHAnsi" w:eastAsiaTheme="majorEastAsia" w:hAnsiTheme="majorHAnsi" w:cstheme="majorBidi"/>
          <w:sz w:val="76"/>
          <w:szCs w:val="72"/>
          <w:lang w:val="en-US" w:eastAsia="ja-JP"/>
        </w:rPr>
      </w:sdtEndPr>
      <w:sdtContent>
        <w:p w:rsidR="00DB145B" w:rsidRDefault="00DB145B" w:rsidP="00BF3486">
          <w:pPr>
            <w:spacing w:after="0" w:line="240" w:lineRule="auto"/>
            <w:jc w:val="center"/>
          </w:pPr>
        </w:p>
        <w:p w:rsidR="00DB145B" w:rsidRDefault="00DB145B" w:rsidP="00BF3486">
          <w:pPr>
            <w:spacing w:after="0" w:line="240" w:lineRule="auto"/>
          </w:pPr>
          <w:r>
            <w:rPr>
              <w:rFonts w:asciiTheme="majorHAnsi" w:eastAsiaTheme="majorEastAsia" w:hAnsiTheme="majorHAnsi" w:cstheme="majorBidi"/>
              <w:noProof/>
              <w:sz w:val="76"/>
              <w:szCs w:val="72"/>
              <w:lang w:eastAsia="tr-TR"/>
            </w:rPr>
            <w:drawing>
              <wp:anchor distT="0" distB="0" distL="114300" distR="114300" simplePos="0" relativeHeight="251658240" behindDoc="0" locked="0" layoutInCell="1" allowOverlap="1" wp14:anchorId="5C374023" wp14:editId="4EA4600C">
                <wp:simplePos x="0" y="0"/>
                <wp:positionH relativeFrom="column">
                  <wp:posOffset>394335</wp:posOffset>
                </wp:positionH>
                <wp:positionV relativeFrom="paragraph">
                  <wp:posOffset>83185</wp:posOffset>
                </wp:positionV>
                <wp:extent cx="4856480" cy="1818005"/>
                <wp:effectExtent l="0" t="0" r="1270" b="0"/>
                <wp:wrapSquare wrapText="bothSides"/>
                <wp:docPr id="2" name="Picture 2" descr="\\200.200.200.4\data\DATALL\Kurumsal iletisim\DEİK_Yeni_Logo\YENİ DEİK LOGO-1 4000px-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200.200.4\data\DATALL\Kurumsal iletisim\DEİK_Yeni_Logo\YENİ DEİK LOGO-1 4000px-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648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45B" w:rsidRDefault="00DB145B" w:rsidP="00BF3486">
          <w:pPr>
            <w:spacing w:after="0" w:line="240" w:lineRule="auto"/>
          </w:pPr>
        </w:p>
        <w:tbl>
          <w:tblPr>
            <w:tblpPr w:leftFromText="141" w:rightFromText="141" w:vertAnchor="page" w:horzAnchor="margin" w:tblpY="6922"/>
            <w:tblW w:w="5000" w:type="pct"/>
            <w:tblLook w:val="04A0" w:firstRow="1" w:lastRow="0" w:firstColumn="1" w:lastColumn="0" w:noHBand="0" w:noVBand="1"/>
          </w:tblPr>
          <w:tblGrid>
            <w:gridCol w:w="9288"/>
          </w:tblGrid>
          <w:tr w:rsidR="00DB145B" w:rsidTr="00DB145B">
            <w:trPr>
              <w:trHeight w:val="1440"/>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B145B" w:rsidRDefault="00DB145B" w:rsidP="00BF348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tr-TR"/>
                      </w:rPr>
                      <w:t>Ülke Bülteni</w:t>
                    </w:r>
                  </w:p>
                </w:tc>
              </w:sdtContent>
            </w:sdt>
          </w:tr>
          <w:tr w:rsidR="00DB145B" w:rsidTr="00DB145B">
            <w:trPr>
              <w:trHeight w:val="720"/>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B145B" w:rsidRDefault="00BE1168" w:rsidP="00BF348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Tunus</w:t>
                    </w:r>
                  </w:p>
                </w:tc>
              </w:sdtContent>
            </w:sdt>
          </w:tr>
          <w:tr w:rsidR="00DB145B" w:rsidTr="00DB145B">
            <w:trPr>
              <w:trHeight w:val="360"/>
            </w:trPr>
            <w:tc>
              <w:tcPr>
                <w:tcW w:w="5000" w:type="pct"/>
                <w:vAlign w:val="center"/>
              </w:tcPr>
              <w:p w:rsidR="00DB145B" w:rsidRDefault="00DB145B" w:rsidP="00BF3486">
                <w:pPr>
                  <w:pStyle w:val="NoSpacing"/>
                  <w:jc w:val="center"/>
                </w:pPr>
                <w:r>
                  <w:t>2017</w:t>
                </w:r>
              </w:p>
            </w:tc>
          </w:tr>
        </w:tbl>
        <w:p w:rsidR="00DB145B" w:rsidRDefault="00DB145B" w:rsidP="00BF3486">
          <w:pPr>
            <w:spacing w:after="0" w:line="240" w:lineRule="auto"/>
            <w:rPr>
              <w:rFonts w:asciiTheme="majorHAnsi" w:eastAsiaTheme="majorEastAsia" w:hAnsiTheme="majorHAnsi" w:cstheme="majorBidi"/>
              <w:sz w:val="76"/>
              <w:szCs w:val="72"/>
              <w:lang w:val="en-US" w:eastAsia="ja-JP"/>
            </w:rPr>
          </w:pPr>
          <w:r>
            <w:rPr>
              <w:rFonts w:asciiTheme="majorHAnsi" w:eastAsiaTheme="majorEastAsia" w:hAnsiTheme="majorHAnsi" w:cstheme="majorBidi"/>
              <w:sz w:val="76"/>
              <w:szCs w:val="72"/>
              <w:lang w:val="en-US" w:eastAsia="ja-JP"/>
            </w:rPr>
            <w:br w:type="page"/>
          </w:r>
        </w:p>
      </w:sdtContent>
    </w:sdt>
    <w:sdt>
      <w:sdtPr>
        <w:rPr>
          <w:rFonts w:asciiTheme="minorHAnsi" w:eastAsiaTheme="minorHAnsi" w:hAnsiTheme="minorHAnsi" w:cstheme="minorBidi"/>
          <w:b w:val="0"/>
          <w:bCs w:val="0"/>
          <w:color w:val="auto"/>
          <w:sz w:val="22"/>
          <w:szCs w:val="22"/>
          <w:lang w:val="tr-TR" w:eastAsia="en-US"/>
        </w:rPr>
        <w:id w:val="-242407917"/>
        <w:docPartObj>
          <w:docPartGallery w:val="Table of Contents"/>
          <w:docPartUnique/>
        </w:docPartObj>
      </w:sdtPr>
      <w:sdtEndPr>
        <w:rPr>
          <w:noProof/>
        </w:rPr>
      </w:sdtEndPr>
      <w:sdtContent>
        <w:p w:rsidR="00976F30" w:rsidRDefault="006B3635" w:rsidP="00BF3486">
          <w:pPr>
            <w:pStyle w:val="TOCHeading"/>
            <w:spacing w:before="0" w:line="240" w:lineRule="auto"/>
          </w:pPr>
          <w:proofErr w:type="spellStart"/>
          <w:r>
            <w:t>İçindekiler</w:t>
          </w:r>
          <w:proofErr w:type="spellEnd"/>
        </w:p>
        <w:p w:rsidR="00C85E2A" w:rsidRDefault="00976F30" w:rsidP="00BF3486">
          <w:pPr>
            <w:pStyle w:val="TOC1"/>
            <w:tabs>
              <w:tab w:val="right" w:leader="dot" w:pos="9062"/>
            </w:tabs>
            <w:spacing w:after="0" w:line="240" w:lineRule="auto"/>
            <w:rPr>
              <w:rFonts w:eastAsiaTheme="minorEastAsia"/>
              <w:noProof/>
              <w:lang w:eastAsia="tr-TR"/>
            </w:rPr>
          </w:pPr>
          <w:r>
            <w:fldChar w:fldCharType="begin"/>
          </w:r>
          <w:r>
            <w:instrText xml:space="preserve"> TOC \o "1-3" \h \z \u </w:instrText>
          </w:r>
          <w:r>
            <w:fldChar w:fldCharType="separate"/>
          </w:r>
          <w:hyperlink w:anchor="_Toc482353098" w:history="1">
            <w:r w:rsidR="00C85E2A" w:rsidRPr="00FD2AB7">
              <w:rPr>
                <w:rStyle w:val="Hyperlink"/>
                <w:noProof/>
              </w:rPr>
              <w:t>Genel Bilgiler</w:t>
            </w:r>
            <w:r w:rsidR="00C85E2A">
              <w:rPr>
                <w:noProof/>
                <w:webHidden/>
              </w:rPr>
              <w:tab/>
            </w:r>
            <w:r w:rsidR="00C85E2A">
              <w:rPr>
                <w:noProof/>
                <w:webHidden/>
              </w:rPr>
              <w:fldChar w:fldCharType="begin"/>
            </w:r>
            <w:r w:rsidR="00C85E2A">
              <w:rPr>
                <w:noProof/>
                <w:webHidden/>
              </w:rPr>
              <w:instrText xml:space="preserve"> PAGEREF _Toc482353098 \h </w:instrText>
            </w:r>
            <w:r w:rsidR="00C85E2A">
              <w:rPr>
                <w:noProof/>
                <w:webHidden/>
              </w:rPr>
            </w:r>
            <w:r w:rsidR="00C85E2A">
              <w:rPr>
                <w:noProof/>
                <w:webHidden/>
              </w:rPr>
              <w:fldChar w:fldCharType="separate"/>
            </w:r>
            <w:r w:rsidR="00C85E2A">
              <w:rPr>
                <w:noProof/>
                <w:webHidden/>
              </w:rPr>
              <w:t>2</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099" w:history="1">
            <w:r w:rsidR="00C85E2A" w:rsidRPr="00FD2AB7">
              <w:rPr>
                <w:rStyle w:val="Hyperlink"/>
                <w:noProof/>
              </w:rPr>
              <w:t>Siyasi Yapı</w:t>
            </w:r>
            <w:r w:rsidR="00C85E2A">
              <w:rPr>
                <w:noProof/>
                <w:webHidden/>
              </w:rPr>
              <w:tab/>
            </w:r>
            <w:r w:rsidR="00C85E2A">
              <w:rPr>
                <w:noProof/>
                <w:webHidden/>
              </w:rPr>
              <w:fldChar w:fldCharType="begin"/>
            </w:r>
            <w:r w:rsidR="00C85E2A">
              <w:rPr>
                <w:noProof/>
                <w:webHidden/>
              </w:rPr>
              <w:instrText xml:space="preserve"> PAGEREF _Toc482353099 \h </w:instrText>
            </w:r>
            <w:r w:rsidR="00C85E2A">
              <w:rPr>
                <w:noProof/>
                <w:webHidden/>
              </w:rPr>
            </w:r>
            <w:r w:rsidR="00C85E2A">
              <w:rPr>
                <w:noProof/>
                <w:webHidden/>
              </w:rPr>
              <w:fldChar w:fldCharType="separate"/>
            </w:r>
            <w:r w:rsidR="00C85E2A">
              <w:rPr>
                <w:noProof/>
                <w:webHidden/>
              </w:rPr>
              <w:t>2</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0" w:history="1">
            <w:r w:rsidR="00C85E2A" w:rsidRPr="00FD2AB7">
              <w:rPr>
                <w:rStyle w:val="Hyperlink"/>
                <w:noProof/>
              </w:rPr>
              <w:t>Genel Ekonomik Görünüm</w:t>
            </w:r>
            <w:r w:rsidR="00C85E2A">
              <w:rPr>
                <w:noProof/>
                <w:webHidden/>
              </w:rPr>
              <w:tab/>
            </w:r>
            <w:r w:rsidR="00C85E2A">
              <w:rPr>
                <w:noProof/>
                <w:webHidden/>
              </w:rPr>
              <w:fldChar w:fldCharType="begin"/>
            </w:r>
            <w:r w:rsidR="00C85E2A">
              <w:rPr>
                <w:noProof/>
                <w:webHidden/>
              </w:rPr>
              <w:instrText xml:space="preserve"> PAGEREF _Toc482353100 \h </w:instrText>
            </w:r>
            <w:r w:rsidR="00C85E2A">
              <w:rPr>
                <w:noProof/>
                <w:webHidden/>
              </w:rPr>
            </w:r>
            <w:r w:rsidR="00C85E2A">
              <w:rPr>
                <w:noProof/>
                <w:webHidden/>
              </w:rPr>
              <w:fldChar w:fldCharType="separate"/>
            </w:r>
            <w:r w:rsidR="00C85E2A">
              <w:rPr>
                <w:noProof/>
                <w:webHidden/>
              </w:rPr>
              <w:t>3</w:t>
            </w:r>
            <w:r w:rsidR="00C85E2A">
              <w:rPr>
                <w:noProof/>
                <w:webHidden/>
              </w:rPr>
              <w:fldChar w:fldCharType="end"/>
            </w:r>
          </w:hyperlink>
        </w:p>
        <w:p w:rsidR="00C85E2A" w:rsidRDefault="00543AE5" w:rsidP="00BF3486">
          <w:pPr>
            <w:pStyle w:val="TOC3"/>
            <w:tabs>
              <w:tab w:val="right" w:leader="dot" w:pos="9062"/>
            </w:tabs>
            <w:spacing w:after="0" w:line="240" w:lineRule="auto"/>
            <w:rPr>
              <w:rFonts w:eastAsiaTheme="minorEastAsia"/>
              <w:noProof/>
              <w:lang w:eastAsia="tr-TR"/>
            </w:rPr>
          </w:pPr>
          <w:hyperlink w:anchor="_Toc482353101" w:history="1">
            <w:r w:rsidR="00C85E2A" w:rsidRPr="00FD2AB7">
              <w:rPr>
                <w:rStyle w:val="Hyperlink"/>
                <w:noProof/>
              </w:rPr>
              <w:t>Yıllık GSYIH Büyüme Oranları (%)</w:t>
            </w:r>
            <w:r w:rsidR="00C85E2A">
              <w:rPr>
                <w:noProof/>
                <w:webHidden/>
              </w:rPr>
              <w:tab/>
            </w:r>
            <w:r w:rsidR="00C85E2A">
              <w:rPr>
                <w:noProof/>
                <w:webHidden/>
              </w:rPr>
              <w:fldChar w:fldCharType="begin"/>
            </w:r>
            <w:r w:rsidR="00C85E2A">
              <w:rPr>
                <w:noProof/>
                <w:webHidden/>
              </w:rPr>
              <w:instrText xml:space="preserve"> PAGEREF _Toc482353101 \h </w:instrText>
            </w:r>
            <w:r w:rsidR="00C85E2A">
              <w:rPr>
                <w:noProof/>
                <w:webHidden/>
              </w:rPr>
            </w:r>
            <w:r w:rsidR="00C85E2A">
              <w:rPr>
                <w:noProof/>
                <w:webHidden/>
              </w:rPr>
              <w:fldChar w:fldCharType="separate"/>
            </w:r>
            <w:r w:rsidR="00C85E2A">
              <w:rPr>
                <w:noProof/>
                <w:webHidden/>
              </w:rPr>
              <w:t>4</w:t>
            </w:r>
            <w:r w:rsidR="00C85E2A">
              <w:rPr>
                <w:noProof/>
                <w:webHidden/>
              </w:rPr>
              <w:fldChar w:fldCharType="end"/>
            </w:r>
          </w:hyperlink>
        </w:p>
        <w:p w:rsidR="00C85E2A" w:rsidRDefault="00543AE5" w:rsidP="00BF3486">
          <w:pPr>
            <w:pStyle w:val="TOC3"/>
            <w:tabs>
              <w:tab w:val="right" w:leader="dot" w:pos="9062"/>
            </w:tabs>
            <w:spacing w:after="0" w:line="240" w:lineRule="auto"/>
            <w:rPr>
              <w:rFonts w:eastAsiaTheme="minorEastAsia"/>
              <w:noProof/>
              <w:lang w:eastAsia="tr-TR"/>
            </w:rPr>
          </w:pPr>
          <w:hyperlink w:anchor="_Toc482353102" w:history="1">
            <w:r w:rsidR="00C85E2A" w:rsidRPr="00FD2AB7">
              <w:rPr>
                <w:rStyle w:val="Hyperlink"/>
                <w:noProof/>
              </w:rPr>
              <w:t>Yıllık Enflasyon Oranları (%)</w:t>
            </w:r>
            <w:r w:rsidR="00C85E2A">
              <w:rPr>
                <w:noProof/>
                <w:webHidden/>
              </w:rPr>
              <w:tab/>
            </w:r>
            <w:r w:rsidR="00C85E2A">
              <w:rPr>
                <w:noProof/>
                <w:webHidden/>
              </w:rPr>
              <w:fldChar w:fldCharType="begin"/>
            </w:r>
            <w:r w:rsidR="00C85E2A">
              <w:rPr>
                <w:noProof/>
                <w:webHidden/>
              </w:rPr>
              <w:instrText xml:space="preserve"> PAGEREF _Toc482353102 \h </w:instrText>
            </w:r>
            <w:r w:rsidR="00C85E2A">
              <w:rPr>
                <w:noProof/>
                <w:webHidden/>
              </w:rPr>
            </w:r>
            <w:r w:rsidR="00C85E2A">
              <w:rPr>
                <w:noProof/>
                <w:webHidden/>
              </w:rPr>
              <w:fldChar w:fldCharType="separate"/>
            </w:r>
            <w:r w:rsidR="00C85E2A">
              <w:rPr>
                <w:noProof/>
                <w:webHidden/>
              </w:rPr>
              <w:t>4</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03" w:history="1">
            <w:r w:rsidR="00C85E2A" w:rsidRPr="00FD2AB7">
              <w:rPr>
                <w:rStyle w:val="Hyperlink"/>
                <w:noProof/>
              </w:rPr>
              <w:t>Sektörler</w:t>
            </w:r>
            <w:r w:rsidR="00C85E2A">
              <w:rPr>
                <w:noProof/>
                <w:webHidden/>
              </w:rPr>
              <w:tab/>
            </w:r>
            <w:r w:rsidR="00C85E2A">
              <w:rPr>
                <w:noProof/>
                <w:webHidden/>
              </w:rPr>
              <w:fldChar w:fldCharType="begin"/>
            </w:r>
            <w:r w:rsidR="00C85E2A">
              <w:rPr>
                <w:noProof/>
                <w:webHidden/>
              </w:rPr>
              <w:instrText xml:space="preserve"> PAGEREF _Toc482353103 \h </w:instrText>
            </w:r>
            <w:r w:rsidR="00C85E2A">
              <w:rPr>
                <w:noProof/>
                <w:webHidden/>
              </w:rPr>
            </w:r>
            <w:r w:rsidR="00C85E2A">
              <w:rPr>
                <w:noProof/>
                <w:webHidden/>
              </w:rPr>
              <w:fldChar w:fldCharType="separate"/>
            </w:r>
            <w:r w:rsidR="00C85E2A">
              <w:rPr>
                <w:noProof/>
                <w:webHidden/>
              </w:rPr>
              <w:t>5</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4" w:history="1">
            <w:r w:rsidR="00C85E2A" w:rsidRPr="00FD2AB7">
              <w:rPr>
                <w:rStyle w:val="Hyperlink"/>
                <w:noProof/>
              </w:rPr>
              <w:t>Tarım ve Balıkçılık</w:t>
            </w:r>
            <w:r w:rsidR="00C85E2A">
              <w:rPr>
                <w:noProof/>
                <w:webHidden/>
              </w:rPr>
              <w:tab/>
            </w:r>
            <w:r w:rsidR="00C85E2A">
              <w:rPr>
                <w:noProof/>
                <w:webHidden/>
              </w:rPr>
              <w:fldChar w:fldCharType="begin"/>
            </w:r>
            <w:r w:rsidR="00C85E2A">
              <w:rPr>
                <w:noProof/>
                <w:webHidden/>
              </w:rPr>
              <w:instrText xml:space="preserve"> PAGEREF _Toc482353104 \h </w:instrText>
            </w:r>
            <w:r w:rsidR="00C85E2A">
              <w:rPr>
                <w:noProof/>
                <w:webHidden/>
              </w:rPr>
            </w:r>
            <w:r w:rsidR="00C85E2A">
              <w:rPr>
                <w:noProof/>
                <w:webHidden/>
              </w:rPr>
              <w:fldChar w:fldCharType="separate"/>
            </w:r>
            <w:r w:rsidR="00C85E2A">
              <w:rPr>
                <w:noProof/>
                <w:webHidden/>
              </w:rPr>
              <w:t>5</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5" w:history="1">
            <w:r w:rsidR="00C85E2A" w:rsidRPr="00FD2AB7">
              <w:rPr>
                <w:rStyle w:val="Hyperlink"/>
                <w:noProof/>
              </w:rPr>
              <w:t>Sanayi</w:t>
            </w:r>
            <w:r w:rsidR="00C85E2A">
              <w:rPr>
                <w:noProof/>
                <w:webHidden/>
              </w:rPr>
              <w:tab/>
            </w:r>
            <w:r w:rsidR="00C85E2A">
              <w:rPr>
                <w:noProof/>
                <w:webHidden/>
              </w:rPr>
              <w:fldChar w:fldCharType="begin"/>
            </w:r>
            <w:r w:rsidR="00C85E2A">
              <w:rPr>
                <w:noProof/>
                <w:webHidden/>
              </w:rPr>
              <w:instrText xml:space="preserve"> PAGEREF _Toc482353105 \h </w:instrText>
            </w:r>
            <w:r w:rsidR="00C85E2A">
              <w:rPr>
                <w:noProof/>
                <w:webHidden/>
              </w:rPr>
            </w:r>
            <w:r w:rsidR="00C85E2A">
              <w:rPr>
                <w:noProof/>
                <w:webHidden/>
              </w:rPr>
              <w:fldChar w:fldCharType="separate"/>
            </w:r>
            <w:r w:rsidR="00C85E2A">
              <w:rPr>
                <w:noProof/>
                <w:webHidden/>
              </w:rPr>
              <w:t>6</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6" w:history="1">
            <w:r w:rsidR="00C85E2A" w:rsidRPr="00FD2AB7">
              <w:rPr>
                <w:rStyle w:val="Hyperlink"/>
                <w:noProof/>
              </w:rPr>
              <w:t>Madencilik</w:t>
            </w:r>
            <w:r w:rsidR="00C85E2A">
              <w:rPr>
                <w:noProof/>
                <w:webHidden/>
              </w:rPr>
              <w:tab/>
            </w:r>
            <w:r w:rsidR="00C85E2A">
              <w:rPr>
                <w:noProof/>
                <w:webHidden/>
              </w:rPr>
              <w:fldChar w:fldCharType="begin"/>
            </w:r>
            <w:r w:rsidR="00C85E2A">
              <w:rPr>
                <w:noProof/>
                <w:webHidden/>
              </w:rPr>
              <w:instrText xml:space="preserve"> PAGEREF _Toc482353106 \h </w:instrText>
            </w:r>
            <w:r w:rsidR="00C85E2A">
              <w:rPr>
                <w:noProof/>
                <w:webHidden/>
              </w:rPr>
            </w:r>
            <w:r w:rsidR="00C85E2A">
              <w:rPr>
                <w:noProof/>
                <w:webHidden/>
              </w:rPr>
              <w:fldChar w:fldCharType="separate"/>
            </w:r>
            <w:r w:rsidR="00C85E2A">
              <w:rPr>
                <w:noProof/>
                <w:webHidden/>
              </w:rPr>
              <w:t>7</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7" w:history="1">
            <w:r w:rsidR="00C85E2A" w:rsidRPr="00FD2AB7">
              <w:rPr>
                <w:rStyle w:val="Hyperlink"/>
                <w:noProof/>
              </w:rPr>
              <w:t>Elektrik</w:t>
            </w:r>
            <w:r w:rsidR="00C85E2A">
              <w:rPr>
                <w:noProof/>
                <w:webHidden/>
              </w:rPr>
              <w:tab/>
            </w:r>
            <w:r w:rsidR="00C85E2A">
              <w:rPr>
                <w:noProof/>
                <w:webHidden/>
              </w:rPr>
              <w:fldChar w:fldCharType="begin"/>
            </w:r>
            <w:r w:rsidR="00C85E2A">
              <w:rPr>
                <w:noProof/>
                <w:webHidden/>
              </w:rPr>
              <w:instrText xml:space="preserve"> PAGEREF _Toc482353107 \h </w:instrText>
            </w:r>
            <w:r w:rsidR="00C85E2A">
              <w:rPr>
                <w:noProof/>
                <w:webHidden/>
              </w:rPr>
            </w:r>
            <w:r w:rsidR="00C85E2A">
              <w:rPr>
                <w:noProof/>
                <w:webHidden/>
              </w:rPr>
              <w:fldChar w:fldCharType="separate"/>
            </w:r>
            <w:r w:rsidR="00C85E2A">
              <w:rPr>
                <w:noProof/>
                <w:webHidden/>
              </w:rPr>
              <w:t>7</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8" w:history="1">
            <w:r w:rsidR="00C85E2A" w:rsidRPr="00FD2AB7">
              <w:rPr>
                <w:rStyle w:val="Hyperlink"/>
                <w:noProof/>
              </w:rPr>
              <w:t>Turizm</w:t>
            </w:r>
            <w:r w:rsidR="00C85E2A">
              <w:rPr>
                <w:noProof/>
                <w:webHidden/>
              </w:rPr>
              <w:tab/>
            </w:r>
            <w:r w:rsidR="00C85E2A">
              <w:rPr>
                <w:noProof/>
                <w:webHidden/>
              </w:rPr>
              <w:fldChar w:fldCharType="begin"/>
            </w:r>
            <w:r w:rsidR="00C85E2A">
              <w:rPr>
                <w:noProof/>
                <w:webHidden/>
              </w:rPr>
              <w:instrText xml:space="preserve"> PAGEREF _Toc482353108 \h </w:instrText>
            </w:r>
            <w:r w:rsidR="00C85E2A">
              <w:rPr>
                <w:noProof/>
                <w:webHidden/>
              </w:rPr>
            </w:r>
            <w:r w:rsidR="00C85E2A">
              <w:rPr>
                <w:noProof/>
                <w:webHidden/>
              </w:rPr>
              <w:fldChar w:fldCharType="separate"/>
            </w:r>
            <w:r w:rsidR="00C85E2A">
              <w:rPr>
                <w:noProof/>
                <w:webHidden/>
              </w:rPr>
              <w:t>8</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09" w:history="1">
            <w:r w:rsidR="00C85E2A" w:rsidRPr="00FD2AB7">
              <w:rPr>
                <w:rStyle w:val="Hyperlink"/>
                <w:noProof/>
              </w:rPr>
              <w:t>Altyapı</w:t>
            </w:r>
            <w:r w:rsidR="00C85E2A">
              <w:rPr>
                <w:noProof/>
                <w:webHidden/>
              </w:rPr>
              <w:tab/>
            </w:r>
            <w:r w:rsidR="00C85E2A">
              <w:rPr>
                <w:noProof/>
                <w:webHidden/>
              </w:rPr>
              <w:fldChar w:fldCharType="begin"/>
            </w:r>
            <w:r w:rsidR="00C85E2A">
              <w:rPr>
                <w:noProof/>
                <w:webHidden/>
              </w:rPr>
              <w:instrText xml:space="preserve"> PAGEREF _Toc482353109 \h </w:instrText>
            </w:r>
            <w:r w:rsidR="00C85E2A">
              <w:rPr>
                <w:noProof/>
                <w:webHidden/>
              </w:rPr>
            </w:r>
            <w:r w:rsidR="00C85E2A">
              <w:rPr>
                <w:noProof/>
                <w:webHidden/>
              </w:rPr>
              <w:fldChar w:fldCharType="separate"/>
            </w:r>
            <w:r w:rsidR="00C85E2A">
              <w:rPr>
                <w:noProof/>
                <w:webHidden/>
              </w:rPr>
              <w:t>8</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0" w:history="1">
            <w:r w:rsidR="00C85E2A" w:rsidRPr="00FD2AB7">
              <w:rPr>
                <w:rStyle w:val="Hyperlink"/>
                <w:noProof/>
              </w:rPr>
              <w:t>Müteahhitlik Hizmetleri</w:t>
            </w:r>
            <w:r w:rsidR="00C85E2A">
              <w:rPr>
                <w:noProof/>
                <w:webHidden/>
              </w:rPr>
              <w:tab/>
            </w:r>
            <w:r w:rsidR="00C85E2A">
              <w:rPr>
                <w:noProof/>
                <w:webHidden/>
              </w:rPr>
              <w:fldChar w:fldCharType="begin"/>
            </w:r>
            <w:r w:rsidR="00C85E2A">
              <w:rPr>
                <w:noProof/>
                <w:webHidden/>
              </w:rPr>
              <w:instrText xml:space="preserve"> PAGEREF _Toc482353110 \h </w:instrText>
            </w:r>
            <w:r w:rsidR="00C85E2A">
              <w:rPr>
                <w:noProof/>
                <w:webHidden/>
              </w:rPr>
            </w:r>
            <w:r w:rsidR="00C85E2A">
              <w:rPr>
                <w:noProof/>
                <w:webHidden/>
              </w:rPr>
              <w:fldChar w:fldCharType="separate"/>
            </w:r>
            <w:r w:rsidR="00C85E2A">
              <w:rPr>
                <w:noProof/>
                <w:webHidden/>
              </w:rPr>
              <w:t>9</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1" w:history="1">
            <w:r w:rsidR="00C85E2A" w:rsidRPr="00FD2AB7">
              <w:rPr>
                <w:rStyle w:val="Hyperlink"/>
                <w:noProof/>
              </w:rPr>
              <w:t>Enerji</w:t>
            </w:r>
            <w:r w:rsidR="00C85E2A">
              <w:rPr>
                <w:noProof/>
                <w:webHidden/>
              </w:rPr>
              <w:tab/>
            </w:r>
            <w:r w:rsidR="00C85E2A">
              <w:rPr>
                <w:noProof/>
                <w:webHidden/>
              </w:rPr>
              <w:fldChar w:fldCharType="begin"/>
            </w:r>
            <w:r w:rsidR="00C85E2A">
              <w:rPr>
                <w:noProof/>
                <w:webHidden/>
              </w:rPr>
              <w:instrText xml:space="preserve"> PAGEREF _Toc482353111 \h </w:instrText>
            </w:r>
            <w:r w:rsidR="00C85E2A">
              <w:rPr>
                <w:noProof/>
                <w:webHidden/>
              </w:rPr>
            </w:r>
            <w:r w:rsidR="00C85E2A">
              <w:rPr>
                <w:noProof/>
                <w:webHidden/>
              </w:rPr>
              <w:fldChar w:fldCharType="separate"/>
            </w:r>
            <w:r w:rsidR="00C85E2A">
              <w:rPr>
                <w:noProof/>
                <w:webHidden/>
              </w:rPr>
              <w:t>10</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12" w:history="1">
            <w:r w:rsidR="00C85E2A" w:rsidRPr="00FD2AB7">
              <w:rPr>
                <w:rStyle w:val="Hyperlink"/>
                <w:noProof/>
              </w:rPr>
              <w:t>Yatırımlar</w:t>
            </w:r>
            <w:r w:rsidR="00C85E2A">
              <w:rPr>
                <w:noProof/>
                <w:webHidden/>
              </w:rPr>
              <w:tab/>
            </w:r>
            <w:r w:rsidR="00C85E2A">
              <w:rPr>
                <w:noProof/>
                <w:webHidden/>
              </w:rPr>
              <w:fldChar w:fldCharType="begin"/>
            </w:r>
            <w:r w:rsidR="00C85E2A">
              <w:rPr>
                <w:noProof/>
                <w:webHidden/>
              </w:rPr>
              <w:instrText xml:space="preserve"> PAGEREF _Toc482353112 \h </w:instrText>
            </w:r>
            <w:r w:rsidR="00C85E2A">
              <w:rPr>
                <w:noProof/>
                <w:webHidden/>
              </w:rPr>
            </w:r>
            <w:r w:rsidR="00C85E2A">
              <w:rPr>
                <w:noProof/>
                <w:webHidden/>
              </w:rPr>
              <w:fldChar w:fldCharType="separate"/>
            </w:r>
            <w:r w:rsidR="00C85E2A">
              <w:rPr>
                <w:noProof/>
                <w:webHidden/>
              </w:rPr>
              <w:t>11</w:t>
            </w:r>
            <w:r w:rsidR="00C85E2A">
              <w:rPr>
                <w:noProof/>
                <w:webHidden/>
              </w:rPr>
              <w:fldChar w:fldCharType="end"/>
            </w:r>
          </w:hyperlink>
        </w:p>
        <w:p w:rsidR="00C85E2A" w:rsidRDefault="00543AE5" w:rsidP="00BF3486">
          <w:pPr>
            <w:pStyle w:val="TOC3"/>
            <w:tabs>
              <w:tab w:val="right" w:leader="dot" w:pos="9062"/>
            </w:tabs>
            <w:spacing w:after="0" w:line="240" w:lineRule="auto"/>
            <w:rPr>
              <w:rFonts w:eastAsiaTheme="minorEastAsia"/>
              <w:noProof/>
              <w:lang w:eastAsia="tr-TR"/>
            </w:rPr>
          </w:pPr>
          <w:hyperlink w:anchor="_Toc482353113" w:history="1">
            <w:r w:rsidR="00C85E2A" w:rsidRPr="00FD2AB7">
              <w:rPr>
                <w:rStyle w:val="Hyperlink"/>
                <w:noProof/>
              </w:rPr>
              <w:t>Doğrudan Yabancı Yatırımlar (milyon dolar)</w:t>
            </w:r>
            <w:r w:rsidR="00C85E2A">
              <w:rPr>
                <w:noProof/>
                <w:webHidden/>
              </w:rPr>
              <w:tab/>
            </w:r>
            <w:r w:rsidR="00C85E2A">
              <w:rPr>
                <w:noProof/>
                <w:webHidden/>
              </w:rPr>
              <w:fldChar w:fldCharType="begin"/>
            </w:r>
            <w:r w:rsidR="00C85E2A">
              <w:rPr>
                <w:noProof/>
                <w:webHidden/>
              </w:rPr>
              <w:instrText xml:space="preserve"> PAGEREF _Toc482353113 \h </w:instrText>
            </w:r>
            <w:r w:rsidR="00C85E2A">
              <w:rPr>
                <w:noProof/>
                <w:webHidden/>
              </w:rPr>
            </w:r>
            <w:r w:rsidR="00C85E2A">
              <w:rPr>
                <w:noProof/>
                <w:webHidden/>
              </w:rPr>
              <w:fldChar w:fldCharType="separate"/>
            </w:r>
            <w:r w:rsidR="00C85E2A">
              <w:rPr>
                <w:noProof/>
                <w:webHidden/>
              </w:rPr>
              <w:t>11</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14" w:history="1">
            <w:r w:rsidR="00C85E2A" w:rsidRPr="00FD2AB7">
              <w:rPr>
                <w:rStyle w:val="Hyperlink"/>
                <w:noProof/>
              </w:rPr>
              <w:t>Dış Ticaret</w:t>
            </w:r>
            <w:r w:rsidR="00C85E2A">
              <w:rPr>
                <w:noProof/>
                <w:webHidden/>
              </w:rPr>
              <w:tab/>
            </w:r>
            <w:r w:rsidR="00C85E2A">
              <w:rPr>
                <w:noProof/>
                <w:webHidden/>
              </w:rPr>
              <w:fldChar w:fldCharType="begin"/>
            </w:r>
            <w:r w:rsidR="00C85E2A">
              <w:rPr>
                <w:noProof/>
                <w:webHidden/>
              </w:rPr>
              <w:instrText xml:space="preserve"> PAGEREF _Toc482353114 \h </w:instrText>
            </w:r>
            <w:r w:rsidR="00C85E2A">
              <w:rPr>
                <w:noProof/>
                <w:webHidden/>
              </w:rPr>
            </w:r>
            <w:r w:rsidR="00C85E2A">
              <w:rPr>
                <w:noProof/>
                <w:webHidden/>
              </w:rPr>
              <w:fldChar w:fldCharType="separate"/>
            </w:r>
            <w:r w:rsidR="00C85E2A">
              <w:rPr>
                <w:noProof/>
                <w:webHidden/>
              </w:rPr>
              <w:t>12</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5" w:history="1">
            <w:r w:rsidR="00C85E2A" w:rsidRPr="00FD2AB7">
              <w:rPr>
                <w:rStyle w:val="Hyperlink"/>
                <w:noProof/>
              </w:rPr>
              <w:t>İthalat yaptığı başlıca ülkeler (1000$)</w:t>
            </w:r>
            <w:r w:rsidR="00C85E2A">
              <w:rPr>
                <w:noProof/>
                <w:webHidden/>
              </w:rPr>
              <w:tab/>
            </w:r>
            <w:r w:rsidR="00C85E2A">
              <w:rPr>
                <w:noProof/>
                <w:webHidden/>
              </w:rPr>
              <w:fldChar w:fldCharType="begin"/>
            </w:r>
            <w:r w:rsidR="00C85E2A">
              <w:rPr>
                <w:noProof/>
                <w:webHidden/>
              </w:rPr>
              <w:instrText xml:space="preserve"> PAGEREF _Toc482353115 \h </w:instrText>
            </w:r>
            <w:r w:rsidR="00C85E2A">
              <w:rPr>
                <w:noProof/>
                <w:webHidden/>
              </w:rPr>
            </w:r>
            <w:r w:rsidR="00C85E2A">
              <w:rPr>
                <w:noProof/>
                <w:webHidden/>
              </w:rPr>
              <w:fldChar w:fldCharType="separate"/>
            </w:r>
            <w:r w:rsidR="00C85E2A">
              <w:rPr>
                <w:noProof/>
                <w:webHidden/>
              </w:rPr>
              <w:t>13</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6" w:history="1">
            <w:r w:rsidR="00C85E2A" w:rsidRPr="00FD2AB7">
              <w:rPr>
                <w:rStyle w:val="Hyperlink"/>
                <w:noProof/>
              </w:rPr>
              <w:t>Tunus’un İthalatında Başlıca Ürünler (1000$)</w:t>
            </w:r>
            <w:r w:rsidR="00C85E2A">
              <w:rPr>
                <w:noProof/>
                <w:webHidden/>
              </w:rPr>
              <w:tab/>
            </w:r>
            <w:r w:rsidR="00C85E2A">
              <w:rPr>
                <w:noProof/>
                <w:webHidden/>
              </w:rPr>
              <w:fldChar w:fldCharType="begin"/>
            </w:r>
            <w:r w:rsidR="00C85E2A">
              <w:rPr>
                <w:noProof/>
                <w:webHidden/>
              </w:rPr>
              <w:instrText xml:space="preserve"> PAGEREF _Toc482353116 \h </w:instrText>
            </w:r>
            <w:r w:rsidR="00C85E2A">
              <w:rPr>
                <w:noProof/>
                <w:webHidden/>
              </w:rPr>
            </w:r>
            <w:r w:rsidR="00C85E2A">
              <w:rPr>
                <w:noProof/>
                <w:webHidden/>
              </w:rPr>
              <w:fldChar w:fldCharType="separate"/>
            </w:r>
            <w:r w:rsidR="00C85E2A">
              <w:rPr>
                <w:noProof/>
                <w:webHidden/>
              </w:rPr>
              <w:t>13</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7" w:history="1">
            <w:r w:rsidR="00C85E2A" w:rsidRPr="00FD2AB7">
              <w:rPr>
                <w:rStyle w:val="Hyperlink"/>
                <w:noProof/>
              </w:rPr>
              <w:t>İhracat yaptığı başlıca ülkeler (1000$)</w:t>
            </w:r>
            <w:r w:rsidR="00C85E2A">
              <w:rPr>
                <w:noProof/>
                <w:webHidden/>
              </w:rPr>
              <w:tab/>
            </w:r>
            <w:r w:rsidR="00C85E2A">
              <w:rPr>
                <w:noProof/>
                <w:webHidden/>
              </w:rPr>
              <w:fldChar w:fldCharType="begin"/>
            </w:r>
            <w:r w:rsidR="00C85E2A">
              <w:rPr>
                <w:noProof/>
                <w:webHidden/>
              </w:rPr>
              <w:instrText xml:space="preserve"> PAGEREF _Toc482353117 \h </w:instrText>
            </w:r>
            <w:r w:rsidR="00C85E2A">
              <w:rPr>
                <w:noProof/>
                <w:webHidden/>
              </w:rPr>
            </w:r>
            <w:r w:rsidR="00C85E2A">
              <w:rPr>
                <w:noProof/>
                <w:webHidden/>
              </w:rPr>
              <w:fldChar w:fldCharType="separate"/>
            </w:r>
            <w:r w:rsidR="00C85E2A">
              <w:rPr>
                <w:noProof/>
                <w:webHidden/>
              </w:rPr>
              <w:t>14</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18" w:history="1">
            <w:r w:rsidR="00C85E2A" w:rsidRPr="00FD2AB7">
              <w:rPr>
                <w:rStyle w:val="Hyperlink"/>
                <w:noProof/>
              </w:rPr>
              <w:t>Tunus’un İhracatında Başlıca Ürünler (1000$)</w:t>
            </w:r>
            <w:r w:rsidR="00C85E2A">
              <w:rPr>
                <w:noProof/>
                <w:webHidden/>
              </w:rPr>
              <w:tab/>
            </w:r>
            <w:r w:rsidR="00C85E2A">
              <w:rPr>
                <w:noProof/>
                <w:webHidden/>
              </w:rPr>
              <w:fldChar w:fldCharType="begin"/>
            </w:r>
            <w:r w:rsidR="00C85E2A">
              <w:rPr>
                <w:noProof/>
                <w:webHidden/>
              </w:rPr>
              <w:instrText xml:space="preserve"> PAGEREF _Toc482353118 \h </w:instrText>
            </w:r>
            <w:r w:rsidR="00C85E2A">
              <w:rPr>
                <w:noProof/>
                <w:webHidden/>
              </w:rPr>
            </w:r>
            <w:r w:rsidR="00C85E2A">
              <w:rPr>
                <w:noProof/>
                <w:webHidden/>
              </w:rPr>
              <w:fldChar w:fldCharType="separate"/>
            </w:r>
            <w:r w:rsidR="00C85E2A">
              <w:rPr>
                <w:noProof/>
                <w:webHidden/>
              </w:rPr>
              <w:t>15</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19" w:history="1">
            <w:r w:rsidR="00C85E2A" w:rsidRPr="00FD2AB7">
              <w:rPr>
                <w:rStyle w:val="Hyperlink"/>
                <w:noProof/>
              </w:rPr>
              <w:t>Türkiye ile Ekonomik ve Ticari İlişkiler</w:t>
            </w:r>
            <w:r w:rsidR="00C85E2A">
              <w:rPr>
                <w:noProof/>
                <w:webHidden/>
              </w:rPr>
              <w:tab/>
            </w:r>
            <w:r w:rsidR="00C85E2A">
              <w:rPr>
                <w:noProof/>
                <w:webHidden/>
              </w:rPr>
              <w:fldChar w:fldCharType="begin"/>
            </w:r>
            <w:r w:rsidR="00C85E2A">
              <w:rPr>
                <w:noProof/>
                <w:webHidden/>
              </w:rPr>
              <w:instrText xml:space="preserve"> PAGEREF _Toc482353119 \h </w:instrText>
            </w:r>
            <w:r w:rsidR="00C85E2A">
              <w:rPr>
                <w:noProof/>
                <w:webHidden/>
              </w:rPr>
            </w:r>
            <w:r w:rsidR="00C85E2A">
              <w:rPr>
                <w:noProof/>
                <w:webHidden/>
              </w:rPr>
              <w:fldChar w:fldCharType="separate"/>
            </w:r>
            <w:r w:rsidR="00C85E2A">
              <w:rPr>
                <w:noProof/>
                <w:webHidden/>
              </w:rPr>
              <w:t>15</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20" w:history="1">
            <w:r w:rsidR="00C85E2A" w:rsidRPr="00FD2AB7">
              <w:rPr>
                <w:rStyle w:val="Hyperlink"/>
                <w:noProof/>
              </w:rPr>
              <w:t>Türkiye ile İkili Ticaret</w:t>
            </w:r>
            <w:r w:rsidR="00C85E2A">
              <w:rPr>
                <w:noProof/>
                <w:webHidden/>
              </w:rPr>
              <w:tab/>
            </w:r>
            <w:r w:rsidR="00C85E2A">
              <w:rPr>
                <w:noProof/>
                <w:webHidden/>
              </w:rPr>
              <w:fldChar w:fldCharType="begin"/>
            </w:r>
            <w:r w:rsidR="00C85E2A">
              <w:rPr>
                <w:noProof/>
                <w:webHidden/>
              </w:rPr>
              <w:instrText xml:space="preserve"> PAGEREF _Toc482353120 \h </w:instrText>
            </w:r>
            <w:r w:rsidR="00C85E2A">
              <w:rPr>
                <w:noProof/>
                <w:webHidden/>
              </w:rPr>
            </w:r>
            <w:r w:rsidR="00C85E2A">
              <w:rPr>
                <w:noProof/>
                <w:webHidden/>
              </w:rPr>
              <w:fldChar w:fldCharType="separate"/>
            </w:r>
            <w:r w:rsidR="00C85E2A">
              <w:rPr>
                <w:noProof/>
                <w:webHidden/>
              </w:rPr>
              <w:t>16</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21" w:history="1">
            <w:r w:rsidR="00C85E2A" w:rsidRPr="00FD2AB7">
              <w:rPr>
                <w:rStyle w:val="Hyperlink"/>
                <w:noProof/>
              </w:rPr>
              <w:t>Türkiye'nin Tunus’a İhracatında Başlıca Ürünler (1000$)</w:t>
            </w:r>
            <w:r w:rsidR="00C85E2A">
              <w:rPr>
                <w:noProof/>
                <w:webHidden/>
              </w:rPr>
              <w:tab/>
            </w:r>
            <w:r w:rsidR="00C85E2A">
              <w:rPr>
                <w:noProof/>
                <w:webHidden/>
              </w:rPr>
              <w:fldChar w:fldCharType="begin"/>
            </w:r>
            <w:r w:rsidR="00C85E2A">
              <w:rPr>
                <w:noProof/>
                <w:webHidden/>
              </w:rPr>
              <w:instrText xml:space="preserve"> PAGEREF _Toc482353121 \h </w:instrText>
            </w:r>
            <w:r w:rsidR="00C85E2A">
              <w:rPr>
                <w:noProof/>
                <w:webHidden/>
              </w:rPr>
            </w:r>
            <w:r w:rsidR="00C85E2A">
              <w:rPr>
                <w:noProof/>
                <w:webHidden/>
              </w:rPr>
              <w:fldChar w:fldCharType="separate"/>
            </w:r>
            <w:r w:rsidR="00C85E2A">
              <w:rPr>
                <w:noProof/>
                <w:webHidden/>
              </w:rPr>
              <w:t>16</w:t>
            </w:r>
            <w:r w:rsidR="00C85E2A">
              <w:rPr>
                <w:noProof/>
                <w:webHidden/>
              </w:rPr>
              <w:fldChar w:fldCharType="end"/>
            </w:r>
          </w:hyperlink>
        </w:p>
        <w:p w:rsidR="00C85E2A" w:rsidRDefault="00543AE5" w:rsidP="00BF3486">
          <w:pPr>
            <w:pStyle w:val="TOC2"/>
            <w:tabs>
              <w:tab w:val="right" w:leader="dot" w:pos="9062"/>
            </w:tabs>
            <w:spacing w:after="0" w:line="240" w:lineRule="auto"/>
            <w:rPr>
              <w:rFonts w:eastAsiaTheme="minorEastAsia"/>
              <w:noProof/>
              <w:lang w:eastAsia="tr-TR"/>
            </w:rPr>
          </w:pPr>
          <w:hyperlink w:anchor="_Toc482353122" w:history="1">
            <w:r w:rsidR="00C85E2A" w:rsidRPr="00FD2AB7">
              <w:rPr>
                <w:rStyle w:val="Hyperlink"/>
                <w:noProof/>
              </w:rPr>
              <w:t>Türkiye'nin Tunus’tan İthalatında Başlıca Ürünler (1000$)</w:t>
            </w:r>
            <w:r w:rsidR="00C85E2A">
              <w:rPr>
                <w:noProof/>
                <w:webHidden/>
              </w:rPr>
              <w:tab/>
            </w:r>
            <w:r w:rsidR="00C85E2A">
              <w:rPr>
                <w:noProof/>
                <w:webHidden/>
              </w:rPr>
              <w:fldChar w:fldCharType="begin"/>
            </w:r>
            <w:r w:rsidR="00C85E2A">
              <w:rPr>
                <w:noProof/>
                <w:webHidden/>
              </w:rPr>
              <w:instrText xml:space="preserve"> PAGEREF _Toc482353122 \h </w:instrText>
            </w:r>
            <w:r w:rsidR="00C85E2A">
              <w:rPr>
                <w:noProof/>
                <w:webHidden/>
              </w:rPr>
            </w:r>
            <w:r w:rsidR="00C85E2A">
              <w:rPr>
                <w:noProof/>
                <w:webHidden/>
              </w:rPr>
              <w:fldChar w:fldCharType="separate"/>
            </w:r>
            <w:r w:rsidR="00C85E2A">
              <w:rPr>
                <w:noProof/>
                <w:webHidden/>
              </w:rPr>
              <w:t>17</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23" w:history="1">
            <w:r w:rsidR="00C85E2A" w:rsidRPr="00FD2AB7">
              <w:rPr>
                <w:rStyle w:val="Hyperlink"/>
                <w:noProof/>
              </w:rPr>
              <w:t>Faydalı Bilgiler</w:t>
            </w:r>
            <w:r w:rsidR="00C85E2A">
              <w:rPr>
                <w:noProof/>
                <w:webHidden/>
              </w:rPr>
              <w:tab/>
            </w:r>
            <w:r w:rsidR="00C85E2A">
              <w:rPr>
                <w:noProof/>
                <w:webHidden/>
              </w:rPr>
              <w:fldChar w:fldCharType="begin"/>
            </w:r>
            <w:r w:rsidR="00C85E2A">
              <w:rPr>
                <w:noProof/>
                <w:webHidden/>
              </w:rPr>
              <w:instrText xml:space="preserve"> PAGEREF _Toc482353123 \h </w:instrText>
            </w:r>
            <w:r w:rsidR="00C85E2A">
              <w:rPr>
                <w:noProof/>
                <w:webHidden/>
              </w:rPr>
            </w:r>
            <w:r w:rsidR="00C85E2A">
              <w:rPr>
                <w:noProof/>
                <w:webHidden/>
              </w:rPr>
              <w:fldChar w:fldCharType="separate"/>
            </w:r>
            <w:r w:rsidR="00C85E2A">
              <w:rPr>
                <w:noProof/>
                <w:webHidden/>
              </w:rPr>
              <w:t>18</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24" w:history="1">
            <w:r w:rsidR="00C85E2A" w:rsidRPr="00FD2AB7">
              <w:rPr>
                <w:rStyle w:val="Hyperlink"/>
                <w:rFonts w:eastAsia="Times New Roman"/>
                <w:noProof/>
                <w:lang w:eastAsia="tr-TR"/>
              </w:rPr>
              <w:t>Yürütme Kurulu Üyeleri</w:t>
            </w:r>
            <w:r w:rsidR="00C85E2A">
              <w:rPr>
                <w:noProof/>
                <w:webHidden/>
              </w:rPr>
              <w:tab/>
            </w:r>
            <w:r w:rsidR="00C85E2A">
              <w:rPr>
                <w:noProof/>
                <w:webHidden/>
              </w:rPr>
              <w:fldChar w:fldCharType="begin"/>
            </w:r>
            <w:r w:rsidR="00C85E2A">
              <w:rPr>
                <w:noProof/>
                <w:webHidden/>
              </w:rPr>
              <w:instrText xml:space="preserve"> PAGEREF _Toc482353124 \h </w:instrText>
            </w:r>
            <w:r w:rsidR="00C85E2A">
              <w:rPr>
                <w:noProof/>
                <w:webHidden/>
              </w:rPr>
            </w:r>
            <w:r w:rsidR="00C85E2A">
              <w:rPr>
                <w:noProof/>
                <w:webHidden/>
              </w:rPr>
              <w:fldChar w:fldCharType="separate"/>
            </w:r>
            <w:r w:rsidR="00C85E2A">
              <w:rPr>
                <w:noProof/>
                <w:webHidden/>
              </w:rPr>
              <w:t>18</w:t>
            </w:r>
            <w:r w:rsidR="00C85E2A">
              <w:rPr>
                <w:noProof/>
                <w:webHidden/>
              </w:rPr>
              <w:fldChar w:fldCharType="end"/>
            </w:r>
          </w:hyperlink>
        </w:p>
        <w:p w:rsidR="00C85E2A" w:rsidRDefault="00543AE5" w:rsidP="00BF3486">
          <w:pPr>
            <w:pStyle w:val="TOC1"/>
            <w:tabs>
              <w:tab w:val="right" w:leader="dot" w:pos="9062"/>
            </w:tabs>
            <w:spacing w:after="0" w:line="240" w:lineRule="auto"/>
            <w:rPr>
              <w:rFonts w:eastAsiaTheme="minorEastAsia"/>
              <w:noProof/>
              <w:lang w:eastAsia="tr-TR"/>
            </w:rPr>
          </w:pPr>
          <w:hyperlink w:anchor="_Toc482353125" w:history="1">
            <w:r w:rsidR="00C85E2A" w:rsidRPr="00FD2AB7">
              <w:rPr>
                <w:rStyle w:val="Hyperlink"/>
                <w:noProof/>
              </w:rPr>
              <w:t>İletişim</w:t>
            </w:r>
            <w:r w:rsidR="00C85E2A">
              <w:rPr>
                <w:noProof/>
                <w:webHidden/>
              </w:rPr>
              <w:tab/>
            </w:r>
            <w:r w:rsidR="00C85E2A">
              <w:rPr>
                <w:noProof/>
                <w:webHidden/>
              </w:rPr>
              <w:fldChar w:fldCharType="begin"/>
            </w:r>
            <w:r w:rsidR="00C85E2A">
              <w:rPr>
                <w:noProof/>
                <w:webHidden/>
              </w:rPr>
              <w:instrText xml:space="preserve"> PAGEREF _Toc482353125 \h </w:instrText>
            </w:r>
            <w:r w:rsidR="00C85E2A">
              <w:rPr>
                <w:noProof/>
                <w:webHidden/>
              </w:rPr>
            </w:r>
            <w:r w:rsidR="00C85E2A">
              <w:rPr>
                <w:noProof/>
                <w:webHidden/>
              </w:rPr>
              <w:fldChar w:fldCharType="separate"/>
            </w:r>
            <w:r w:rsidR="00C85E2A">
              <w:rPr>
                <w:noProof/>
                <w:webHidden/>
              </w:rPr>
              <w:t>19</w:t>
            </w:r>
            <w:r w:rsidR="00C85E2A">
              <w:rPr>
                <w:noProof/>
                <w:webHidden/>
              </w:rPr>
              <w:fldChar w:fldCharType="end"/>
            </w:r>
          </w:hyperlink>
        </w:p>
        <w:p w:rsidR="00976F30" w:rsidRDefault="00976F30" w:rsidP="00BF3486">
          <w:pPr>
            <w:spacing w:after="0" w:line="240" w:lineRule="auto"/>
          </w:pPr>
          <w:r>
            <w:rPr>
              <w:b/>
              <w:bCs/>
              <w:noProof/>
            </w:rPr>
            <w:fldChar w:fldCharType="end"/>
          </w:r>
        </w:p>
      </w:sdtContent>
    </w:sdt>
    <w:p w:rsidR="00976F30" w:rsidRDefault="00976F30" w:rsidP="00BF3486">
      <w:pPr>
        <w:spacing w:after="0" w:line="240" w:lineRule="auto"/>
        <w:jc w:val="both"/>
        <w:rPr>
          <w:rFonts w:ascii="Times New Roman" w:hAnsi="Times New Roman" w:cs="Times New Roman"/>
        </w:rPr>
      </w:pPr>
    </w:p>
    <w:p w:rsidR="00976F30" w:rsidRDefault="00976F30" w:rsidP="00BF3486">
      <w:pPr>
        <w:spacing w:after="0" w:line="240" w:lineRule="auto"/>
        <w:rPr>
          <w:rFonts w:ascii="Times New Roman" w:hAnsi="Times New Roman" w:cs="Times New Roman"/>
        </w:rPr>
      </w:pPr>
      <w:r>
        <w:rPr>
          <w:rFonts w:ascii="Times New Roman" w:hAnsi="Times New Roman" w:cs="Times New Roman"/>
        </w:rPr>
        <w:br w:type="page"/>
      </w:r>
    </w:p>
    <w:p w:rsidR="00FE7DC4" w:rsidRPr="001F71B9" w:rsidRDefault="00BE1168" w:rsidP="00BF3486">
      <w:pPr>
        <w:pStyle w:val="Title"/>
        <w:spacing w:after="0"/>
        <w:rPr>
          <w:rFonts w:asciiTheme="minorHAnsi" w:hAnsiTheme="minorHAnsi"/>
          <w:sz w:val="24"/>
          <w:szCs w:val="24"/>
        </w:rPr>
      </w:pPr>
      <w:r w:rsidRPr="001F71B9">
        <w:rPr>
          <w:rFonts w:asciiTheme="minorHAnsi" w:hAnsiTheme="minorHAnsi"/>
          <w:sz w:val="24"/>
          <w:szCs w:val="24"/>
        </w:rPr>
        <w:lastRenderedPageBreak/>
        <w:t>TUNUS</w:t>
      </w:r>
    </w:p>
    <w:p w:rsidR="00FE7DC4" w:rsidRPr="001F71B9" w:rsidRDefault="00FE7DC4" w:rsidP="00BF3486">
      <w:pPr>
        <w:pStyle w:val="Heading1"/>
        <w:spacing w:before="0" w:line="240" w:lineRule="auto"/>
        <w:rPr>
          <w:rFonts w:asciiTheme="minorHAnsi" w:hAnsiTheme="minorHAnsi"/>
          <w:sz w:val="24"/>
          <w:szCs w:val="24"/>
        </w:rPr>
      </w:pPr>
      <w:bookmarkStart w:id="0" w:name="_Toc482353098"/>
      <w:r w:rsidRPr="001F71B9">
        <w:rPr>
          <w:rFonts w:asciiTheme="minorHAnsi" w:hAnsiTheme="minorHAnsi"/>
          <w:sz w:val="24"/>
          <w:szCs w:val="24"/>
        </w:rPr>
        <w:t>Genel Bilgiler</w:t>
      </w:r>
      <w:bookmarkEnd w:id="0"/>
      <w:r w:rsidR="00013F29" w:rsidRPr="001F71B9">
        <w:rPr>
          <w:rFonts w:asciiTheme="minorHAnsi" w:hAnsiTheme="minorHAnsi"/>
          <w:sz w:val="24"/>
          <w:szCs w:val="24"/>
        </w:rPr>
        <w:t xml:space="preserve"> </w:t>
      </w:r>
    </w:p>
    <w:p w:rsidR="00FE7DC4" w:rsidRPr="00BF3486" w:rsidRDefault="00F411EF" w:rsidP="00BF3486">
      <w:pPr>
        <w:pStyle w:val="NoSpacing"/>
        <w:rPr>
          <w:b/>
          <w:sz w:val="24"/>
          <w:szCs w:val="24"/>
          <w:lang w:val="tr-TR"/>
        </w:rPr>
      </w:pPr>
      <w:r w:rsidRPr="00BF3486">
        <w:rPr>
          <w:b/>
          <w:sz w:val="24"/>
          <w:szCs w:val="24"/>
          <w:lang w:val="tr-TR"/>
        </w:rPr>
        <w:t>Resmi Adı</w:t>
      </w:r>
      <w:r w:rsidRPr="00BF3486">
        <w:rPr>
          <w:b/>
          <w:sz w:val="24"/>
          <w:szCs w:val="24"/>
          <w:lang w:val="tr-TR"/>
        </w:rPr>
        <w:tab/>
      </w:r>
      <w:r w:rsidRPr="00BF3486">
        <w:rPr>
          <w:b/>
          <w:sz w:val="24"/>
          <w:szCs w:val="24"/>
          <w:lang w:val="tr-TR"/>
        </w:rPr>
        <w:tab/>
      </w:r>
      <w:r w:rsidR="00BF3486" w:rsidRPr="00BF3486">
        <w:rPr>
          <w:b/>
          <w:sz w:val="24"/>
          <w:szCs w:val="24"/>
          <w:lang w:val="tr-TR"/>
        </w:rPr>
        <w:tab/>
      </w:r>
      <w:r w:rsidR="00FE7DC4" w:rsidRPr="00BF3486">
        <w:rPr>
          <w:b/>
          <w:sz w:val="24"/>
          <w:szCs w:val="24"/>
          <w:lang w:val="tr-TR"/>
        </w:rPr>
        <w:t xml:space="preserve">: </w:t>
      </w:r>
      <w:r w:rsidR="00BE1168" w:rsidRPr="00BF3486">
        <w:rPr>
          <w:sz w:val="24"/>
          <w:szCs w:val="24"/>
          <w:lang w:val="tr-TR"/>
        </w:rPr>
        <w:t>Tunus Cumhuriyeti</w:t>
      </w:r>
    </w:p>
    <w:p w:rsidR="00FE7DC4" w:rsidRPr="00BF3486" w:rsidRDefault="00F411EF" w:rsidP="00BF3486">
      <w:pPr>
        <w:pStyle w:val="NoSpacing"/>
        <w:rPr>
          <w:b/>
          <w:sz w:val="24"/>
          <w:szCs w:val="24"/>
          <w:lang w:val="tr-TR"/>
        </w:rPr>
      </w:pPr>
      <w:r w:rsidRPr="00BF3486">
        <w:rPr>
          <w:b/>
          <w:sz w:val="24"/>
          <w:szCs w:val="24"/>
          <w:lang w:val="tr-TR"/>
        </w:rPr>
        <w:t>Yönetim Şekli</w:t>
      </w:r>
      <w:r w:rsidRPr="00BF3486">
        <w:rPr>
          <w:b/>
          <w:sz w:val="24"/>
          <w:szCs w:val="24"/>
          <w:lang w:val="tr-TR"/>
        </w:rPr>
        <w:tab/>
      </w:r>
      <w:r w:rsidRPr="00BF3486">
        <w:rPr>
          <w:b/>
          <w:sz w:val="24"/>
          <w:szCs w:val="24"/>
          <w:lang w:val="tr-TR"/>
        </w:rPr>
        <w:tab/>
      </w:r>
      <w:r w:rsidR="00BF3486" w:rsidRPr="00BF3486">
        <w:rPr>
          <w:b/>
          <w:sz w:val="24"/>
          <w:szCs w:val="24"/>
          <w:lang w:val="tr-TR"/>
        </w:rPr>
        <w:tab/>
      </w:r>
      <w:r w:rsidR="00FE7DC4" w:rsidRPr="00BF3486">
        <w:rPr>
          <w:b/>
          <w:sz w:val="24"/>
          <w:szCs w:val="24"/>
          <w:lang w:val="tr-TR"/>
        </w:rPr>
        <w:t xml:space="preserve">: </w:t>
      </w:r>
      <w:r w:rsidR="00BE1168" w:rsidRPr="00BF3486">
        <w:rPr>
          <w:sz w:val="24"/>
          <w:szCs w:val="24"/>
          <w:lang w:val="tr-TR"/>
        </w:rPr>
        <w:t>Parlamenter Demokrasi</w:t>
      </w:r>
    </w:p>
    <w:p w:rsidR="00FE7DC4" w:rsidRPr="00BF3486" w:rsidRDefault="00797434" w:rsidP="00BF3486">
      <w:pPr>
        <w:pStyle w:val="NoSpacing"/>
        <w:rPr>
          <w:b/>
          <w:sz w:val="24"/>
          <w:szCs w:val="24"/>
          <w:lang w:val="tr-TR"/>
        </w:rPr>
      </w:pPr>
      <w:r w:rsidRPr="00BF3486">
        <w:rPr>
          <w:b/>
          <w:sz w:val="24"/>
          <w:szCs w:val="24"/>
          <w:lang w:val="tr-TR"/>
        </w:rPr>
        <w:t>Cumhurbaşkanı</w:t>
      </w:r>
      <w:r w:rsidR="00F411EF"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1F71B9" w:rsidRPr="00BF3486">
        <w:rPr>
          <w:sz w:val="24"/>
          <w:szCs w:val="24"/>
          <w:lang w:val="tr-TR"/>
        </w:rPr>
        <w:t xml:space="preserve">Mohamed </w:t>
      </w:r>
      <w:r w:rsidR="00BE1168" w:rsidRPr="00BF3486">
        <w:rPr>
          <w:sz w:val="24"/>
          <w:szCs w:val="24"/>
          <w:lang w:val="tr-TR"/>
        </w:rPr>
        <w:t xml:space="preserve">Beji </w:t>
      </w:r>
      <w:proofErr w:type="spellStart"/>
      <w:r w:rsidR="00BE1168" w:rsidRPr="00BF3486">
        <w:rPr>
          <w:sz w:val="24"/>
          <w:szCs w:val="24"/>
          <w:lang w:val="tr-TR"/>
        </w:rPr>
        <w:t>Caid</w:t>
      </w:r>
      <w:proofErr w:type="spellEnd"/>
      <w:r w:rsidR="00BE1168" w:rsidRPr="00BF3486">
        <w:rPr>
          <w:sz w:val="24"/>
          <w:szCs w:val="24"/>
          <w:lang w:val="tr-TR"/>
        </w:rPr>
        <w:t xml:space="preserve"> </w:t>
      </w:r>
      <w:proofErr w:type="spellStart"/>
      <w:r w:rsidR="00BE1168" w:rsidRPr="00BF3486">
        <w:rPr>
          <w:sz w:val="24"/>
          <w:szCs w:val="24"/>
          <w:lang w:val="tr-TR"/>
        </w:rPr>
        <w:t>Essebsi</w:t>
      </w:r>
      <w:proofErr w:type="spellEnd"/>
      <w:r w:rsidR="00BE1168" w:rsidRPr="00BF3486">
        <w:rPr>
          <w:sz w:val="24"/>
          <w:szCs w:val="24"/>
          <w:lang w:val="tr-TR"/>
        </w:rPr>
        <w:t xml:space="preserve"> (2014)</w:t>
      </w:r>
    </w:p>
    <w:p w:rsidR="00FE7DC4" w:rsidRPr="00BF3486" w:rsidRDefault="00F411EF" w:rsidP="00BF3486">
      <w:pPr>
        <w:pStyle w:val="NoSpacing"/>
        <w:rPr>
          <w:b/>
          <w:sz w:val="24"/>
          <w:szCs w:val="24"/>
          <w:lang w:val="tr-TR"/>
        </w:rPr>
      </w:pPr>
      <w:r w:rsidRPr="00BF3486">
        <w:rPr>
          <w:b/>
          <w:sz w:val="24"/>
          <w:szCs w:val="24"/>
          <w:lang w:val="tr-TR"/>
        </w:rPr>
        <w:t>Yüz Ölçümü</w:t>
      </w:r>
      <w:r w:rsidRPr="00BF3486">
        <w:rPr>
          <w:b/>
          <w:sz w:val="24"/>
          <w:szCs w:val="24"/>
          <w:lang w:val="tr-TR"/>
        </w:rPr>
        <w:tab/>
      </w:r>
      <w:r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162,155 km ²</w:t>
      </w:r>
    </w:p>
    <w:p w:rsidR="00797434" w:rsidRPr="00BF3486" w:rsidRDefault="00F411EF" w:rsidP="00BF3486">
      <w:pPr>
        <w:pStyle w:val="NoSpacing"/>
        <w:rPr>
          <w:sz w:val="24"/>
          <w:szCs w:val="24"/>
          <w:lang w:val="tr-TR"/>
        </w:rPr>
      </w:pPr>
      <w:r w:rsidRPr="00BF3486">
        <w:rPr>
          <w:b/>
          <w:sz w:val="24"/>
          <w:szCs w:val="24"/>
          <w:lang w:val="tr-TR"/>
        </w:rPr>
        <w:t>Toplam Nüfus</w:t>
      </w:r>
      <w:r w:rsidRPr="00BF3486">
        <w:rPr>
          <w:b/>
          <w:sz w:val="24"/>
          <w:szCs w:val="24"/>
          <w:lang w:val="tr-TR"/>
        </w:rPr>
        <w:tab/>
      </w:r>
      <w:r w:rsidRPr="00BF3486">
        <w:rPr>
          <w:b/>
          <w:sz w:val="24"/>
          <w:szCs w:val="24"/>
          <w:lang w:val="tr-TR"/>
        </w:rPr>
        <w:tab/>
      </w:r>
      <w:r w:rsidR="00BF3486">
        <w:rPr>
          <w:b/>
          <w:sz w:val="24"/>
          <w:szCs w:val="24"/>
          <w:lang w:val="tr-TR"/>
        </w:rPr>
        <w:tab/>
      </w:r>
      <w:r w:rsidR="00FE7DC4" w:rsidRPr="00BF3486">
        <w:rPr>
          <w:b/>
          <w:sz w:val="24"/>
          <w:szCs w:val="24"/>
          <w:lang w:val="tr-TR"/>
        </w:rPr>
        <w:t xml:space="preserve">: </w:t>
      </w:r>
      <w:proofErr w:type="gramStart"/>
      <w:r w:rsidR="00BE1168" w:rsidRPr="00BF3486">
        <w:rPr>
          <w:sz w:val="24"/>
          <w:szCs w:val="24"/>
          <w:lang w:val="tr-TR"/>
        </w:rPr>
        <w:t>11,110,000</w:t>
      </w:r>
      <w:proofErr w:type="gramEnd"/>
    </w:p>
    <w:p w:rsidR="00FE7DC4" w:rsidRPr="00BF3486" w:rsidRDefault="00FE7DC4" w:rsidP="00BF3486">
      <w:pPr>
        <w:pStyle w:val="NoSpacing"/>
        <w:rPr>
          <w:b/>
          <w:sz w:val="24"/>
          <w:szCs w:val="24"/>
          <w:lang w:val="tr-TR"/>
        </w:rPr>
      </w:pPr>
      <w:r w:rsidRPr="00BF3486">
        <w:rPr>
          <w:b/>
          <w:sz w:val="24"/>
          <w:szCs w:val="24"/>
          <w:lang w:val="tr-TR"/>
        </w:rPr>
        <w:t>Nüfus Artış Hızı</w:t>
      </w:r>
      <w:r w:rsidRPr="00BF3486">
        <w:rPr>
          <w:b/>
          <w:sz w:val="24"/>
          <w:szCs w:val="24"/>
          <w:lang w:val="tr-TR"/>
        </w:rPr>
        <w:tab/>
      </w:r>
      <w:r w:rsidR="00F411EF" w:rsidRPr="00BF3486">
        <w:rPr>
          <w:b/>
          <w:sz w:val="24"/>
          <w:szCs w:val="24"/>
          <w:lang w:val="tr-TR"/>
        </w:rPr>
        <w:tab/>
      </w:r>
      <w:r w:rsidRPr="00BF3486">
        <w:rPr>
          <w:b/>
          <w:sz w:val="24"/>
          <w:szCs w:val="24"/>
          <w:lang w:val="tr-TR"/>
        </w:rPr>
        <w:t xml:space="preserve">: </w:t>
      </w:r>
      <w:r w:rsidR="00BE1168" w:rsidRPr="00BF3486">
        <w:rPr>
          <w:sz w:val="24"/>
          <w:szCs w:val="24"/>
          <w:lang w:val="tr-TR"/>
        </w:rPr>
        <w:t>% 1,3</w:t>
      </w:r>
    </w:p>
    <w:p w:rsidR="00FE7DC4" w:rsidRPr="00BF3486" w:rsidRDefault="00F411EF" w:rsidP="00BF3486">
      <w:pPr>
        <w:pStyle w:val="NoSpacing"/>
        <w:rPr>
          <w:b/>
          <w:sz w:val="24"/>
          <w:szCs w:val="24"/>
          <w:lang w:val="tr-TR"/>
        </w:rPr>
      </w:pPr>
      <w:r w:rsidRPr="00BF3486">
        <w:rPr>
          <w:b/>
          <w:sz w:val="24"/>
          <w:szCs w:val="24"/>
          <w:lang w:val="tr-TR"/>
        </w:rPr>
        <w:t>Ortalama Yaşam Süresi</w:t>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75,6</w:t>
      </w:r>
    </w:p>
    <w:p w:rsidR="00FE7DC4" w:rsidRPr="00BF3486" w:rsidRDefault="00F411EF" w:rsidP="00BF3486">
      <w:pPr>
        <w:pStyle w:val="NoSpacing"/>
        <w:rPr>
          <w:b/>
          <w:sz w:val="24"/>
          <w:szCs w:val="24"/>
          <w:lang w:val="tr-TR"/>
        </w:rPr>
      </w:pPr>
      <w:r w:rsidRPr="00BF3486">
        <w:rPr>
          <w:b/>
          <w:sz w:val="24"/>
          <w:szCs w:val="24"/>
          <w:lang w:val="tr-TR"/>
        </w:rPr>
        <w:t>Etnik Dağılım</w:t>
      </w:r>
      <w:r w:rsidRPr="00BF3486">
        <w:rPr>
          <w:b/>
          <w:sz w:val="24"/>
          <w:szCs w:val="24"/>
          <w:lang w:val="tr-TR"/>
        </w:rPr>
        <w:tab/>
      </w:r>
      <w:r w:rsidR="004E7C09"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Arap-Berberi %98, diğer %2</w:t>
      </w:r>
    </w:p>
    <w:p w:rsidR="00BE1168" w:rsidRPr="00BF3486" w:rsidRDefault="00F411EF" w:rsidP="00BF3486">
      <w:pPr>
        <w:pStyle w:val="NoSpacing"/>
        <w:rPr>
          <w:sz w:val="24"/>
          <w:szCs w:val="24"/>
          <w:lang w:val="tr-TR"/>
        </w:rPr>
      </w:pPr>
      <w:r w:rsidRPr="00BF3486">
        <w:rPr>
          <w:b/>
          <w:sz w:val="24"/>
          <w:szCs w:val="24"/>
          <w:lang w:val="tr-TR"/>
        </w:rPr>
        <w:t>Dini Dağılım</w:t>
      </w:r>
      <w:r w:rsidR="004E7C09" w:rsidRPr="00BF3486">
        <w:rPr>
          <w:b/>
          <w:sz w:val="24"/>
          <w:szCs w:val="24"/>
          <w:lang w:val="tr-TR"/>
        </w:rPr>
        <w:tab/>
      </w:r>
      <w:r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Müslüman %98, Hristiyan %1, Musevi %1</w:t>
      </w:r>
    </w:p>
    <w:p w:rsidR="00FE7DC4" w:rsidRPr="00BF3486" w:rsidRDefault="00F411EF" w:rsidP="00BF3486">
      <w:pPr>
        <w:pStyle w:val="NoSpacing"/>
        <w:rPr>
          <w:b/>
          <w:sz w:val="24"/>
          <w:szCs w:val="24"/>
          <w:lang w:val="tr-TR"/>
        </w:rPr>
      </w:pPr>
      <w:r w:rsidRPr="00BF3486">
        <w:rPr>
          <w:b/>
          <w:sz w:val="24"/>
          <w:szCs w:val="24"/>
          <w:lang w:val="tr-TR"/>
        </w:rPr>
        <w:t>Okuma Yazma Oranı</w:t>
      </w:r>
      <w:r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%79,1</w:t>
      </w:r>
    </w:p>
    <w:p w:rsidR="00797434" w:rsidRPr="00BF3486" w:rsidRDefault="00F411EF" w:rsidP="00BF3486">
      <w:pPr>
        <w:pStyle w:val="NoSpacing"/>
        <w:rPr>
          <w:sz w:val="24"/>
          <w:szCs w:val="24"/>
          <w:lang w:val="tr-TR"/>
        </w:rPr>
      </w:pPr>
      <w:r w:rsidRPr="00BF3486">
        <w:rPr>
          <w:b/>
          <w:sz w:val="24"/>
          <w:szCs w:val="24"/>
          <w:lang w:val="tr-TR"/>
        </w:rPr>
        <w:t>Konuşulan Diller</w:t>
      </w:r>
      <w:r w:rsidRPr="00BF3486">
        <w:rPr>
          <w:b/>
          <w:sz w:val="24"/>
          <w:szCs w:val="24"/>
          <w:lang w:val="tr-TR"/>
        </w:rPr>
        <w:tab/>
      </w:r>
      <w:r w:rsidR="00BF3486">
        <w:rPr>
          <w:b/>
          <w:sz w:val="24"/>
          <w:szCs w:val="24"/>
          <w:lang w:val="tr-TR"/>
        </w:rPr>
        <w:tab/>
      </w:r>
      <w:r w:rsidR="00FE7DC4" w:rsidRPr="00BF3486">
        <w:rPr>
          <w:b/>
          <w:sz w:val="24"/>
          <w:szCs w:val="24"/>
          <w:lang w:val="tr-TR"/>
        </w:rPr>
        <w:t>:</w:t>
      </w:r>
      <w:r w:rsidR="00797434" w:rsidRPr="00BF3486">
        <w:rPr>
          <w:sz w:val="24"/>
          <w:szCs w:val="24"/>
          <w:lang w:val="tr-TR"/>
        </w:rPr>
        <w:t xml:space="preserve"> </w:t>
      </w:r>
      <w:r w:rsidR="00BE1168" w:rsidRPr="00BF3486">
        <w:rPr>
          <w:sz w:val="24"/>
          <w:szCs w:val="24"/>
          <w:lang w:val="tr-TR"/>
        </w:rPr>
        <w:t>Arapça</w:t>
      </w:r>
      <w:r w:rsidR="001F71B9" w:rsidRPr="00BF3486">
        <w:rPr>
          <w:sz w:val="24"/>
          <w:szCs w:val="24"/>
          <w:lang w:val="tr-TR"/>
        </w:rPr>
        <w:t xml:space="preserve"> Fransızca</w:t>
      </w:r>
    </w:p>
    <w:p w:rsidR="00FE7DC4" w:rsidRPr="00BF3486" w:rsidRDefault="00DC1487" w:rsidP="00BF3486">
      <w:pPr>
        <w:pStyle w:val="NoSpacing"/>
        <w:rPr>
          <w:b/>
          <w:sz w:val="24"/>
          <w:szCs w:val="24"/>
          <w:lang w:val="tr-TR"/>
        </w:rPr>
      </w:pPr>
      <w:r w:rsidRPr="00BF3486">
        <w:rPr>
          <w:b/>
          <w:sz w:val="24"/>
          <w:szCs w:val="24"/>
          <w:lang w:val="tr-TR"/>
        </w:rPr>
        <w:t>Başkent</w:t>
      </w:r>
      <w:r w:rsidRPr="00BF3486">
        <w:rPr>
          <w:b/>
          <w:sz w:val="24"/>
          <w:szCs w:val="24"/>
          <w:lang w:val="tr-TR"/>
        </w:rPr>
        <w:tab/>
      </w:r>
      <w:r w:rsidR="004E7C09"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Tunus</w:t>
      </w:r>
    </w:p>
    <w:p w:rsidR="00FE7DC4" w:rsidRPr="00BF3486" w:rsidRDefault="00BF3486" w:rsidP="00BF3486">
      <w:pPr>
        <w:pStyle w:val="NoSpacing"/>
        <w:rPr>
          <w:b/>
          <w:sz w:val="24"/>
          <w:szCs w:val="24"/>
          <w:lang w:val="tr-TR"/>
        </w:rPr>
      </w:pPr>
      <w:r w:rsidRPr="00BF3486">
        <w:rPr>
          <w:b/>
          <w:sz w:val="24"/>
          <w:szCs w:val="24"/>
          <w:lang w:val="tr-TR"/>
        </w:rPr>
        <w:t>Başlıca Büyük Şehirler</w:t>
      </w:r>
      <w:r>
        <w:rPr>
          <w:b/>
          <w:sz w:val="24"/>
          <w:szCs w:val="24"/>
          <w:lang w:val="tr-TR"/>
        </w:rPr>
        <w:tab/>
      </w:r>
      <w:r w:rsidR="00FE7DC4" w:rsidRPr="00BF3486">
        <w:rPr>
          <w:b/>
          <w:sz w:val="24"/>
          <w:szCs w:val="24"/>
          <w:lang w:val="tr-TR"/>
        </w:rPr>
        <w:t>:</w:t>
      </w:r>
      <w:r w:rsidR="00BE1168" w:rsidRPr="00BF3486">
        <w:rPr>
          <w:sz w:val="24"/>
          <w:szCs w:val="24"/>
          <w:lang w:val="tr-TR"/>
        </w:rPr>
        <w:t xml:space="preserve"> Tunus, </w:t>
      </w:r>
      <w:proofErr w:type="spellStart"/>
      <w:r w:rsidR="00BE1168" w:rsidRPr="00BF3486">
        <w:rPr>
          <w:sz w:val="24"/>
          <w:szCs w:val="24"/>
          <w:lang w:val="tr-TR"/>
        </w:rPr>
        <w:t>Safaqis</w:t>
      </w:r>
      <w:proofErr w:type="spellEnd"/>
      <w:r w:rsidR="00BE1168" w:rsidRPr="00BF3486">
        <w:rPr>
          <w:sz w:val="24"/>
          <w:szCs w:val="24"/>
          <w:lang w:val="tr-TR"/>
        </w:rPr>
        <w:t xml:space="preserve">, </w:t>
      </w:r>
      <w:proofErr w:type="spellStart"/>
      <w:r w:rsidR="00BE1168" w:rsidRPr="00BF3486">
        <w:rPr>
          <w:sz w:val="24"/>
          <w:szCs w:val="24"/>
          <w:lang w:val="tr-TR"/>
        </w:rPr>
        <w:t>Susah</w:t>
      </w:r>
      <w:proofErr w:type="spellEnd"/>
    </w:p>
    <w:p w:rsidR="00390E33" w:rsidRPr="00BF3486" w:rsidRDefault="00F411EF" w:rsidP="00BF3486">
      <w:pPr>
        <w:pStyle w:val="NoSpacing"/>
        <w:rPr>
          <w:b/>
          <w:sz w:val="24"/>
          <w:szCs w:val="24"/>
          <w:lang w:val="tr-TR"/>
        </w:rPr>
      </w:pPr>
      <w:r w:rsidRPr="00BF3486">
        <w:rPr>
          <w:b/>
          <w:sz w:val="24"/>
          <w:szCs w:val="24"/>
          <w:lang w:val="tr-TR"/>
        </w:rPr>
        <w:t>Para Birimi</w:t>
      </w:r>
      <w:r w:rsidRPr="00BF3486">
        <w:rPr>
          <w:b/>
          <w:sz w:val="24"/>
          <w:szCs w:val="24"/>
          <w:lang w:val="tr-TR"/>
        </w:rPr>
        <w:tab/>
      </w:r>
      <w:r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Tunus Dinarı</w:t>
      </w:r>
    </w:p>
    <w:p w:rsidR="00337580" w:rsidRPr="00BF3486" w:rsidRDefault="00F411EF" w:rsidP="00BF3486">
      <w:pPr>
        <w:pStyle w:val="NoSpacing"/>
        <w:rPr>
          <w:sz w:val="24"/>
          <w:szCs w:val="24"/>
          <w:lang w:val="tr-TR"/>
        </w:rPr>
      </w:pPr>
      <w:r w:rsidRPr="00BF3486">
        <w:rPr>
          <w:b/>
          <w:sz w:val="24"/>
          <w:szCs w:val="24"/>
          <w:lang w:val="tr-TR"/>
        </w:rPr>
        <w:t>Saat Farkı</w:t>
      </w:r>
      <w:r w:rsidRPr="00BF3486">
        <w:rPr>
          <w:b/>
          <w:sz w:val="24"/>
          <w:szCs w:val="24"/>
          <w:lang w:val="tr-TR"/>
        </w:rPr>
        <w:tab/>
      </w:r>
      <w:r w:rsidRPr="00BF3486">
        <w:rPr>
          <w:b/>
          <w:sz w:val="24"/>
          <w:szCs w:val="24"/>
          <w:lang w:val="tr-TR"/>
        </w:rPr>
        <w:tab/>
      </w:r>
      <w:r w:rsidR="00BF3486">
        <w:rPr>
          <w:b/>
          <w:sz w:val="24"/>
          <w:szCs w:val="24"/>
          <w:lang w:val="tr-TR"/>
        </w:rPr>
        <w:tab/>
      </w:r>
      <w:r w:rsidR="00FE7DC4" w:rsidRPr="00BF3486">
        <w:rPr>
          <w:b/>
          <w:sz w:val="24"/>
          <w:szCs w:val="24"/>
          <w:lang w:val="tr-TR"/>
        </w:rPr>
        <w:t xml:space="preserve">: </w:t>
      </w:r>
      <w:r w:rsidR="00BE1168" w:rsidRPr="00BF3486">
        <w:rPr>
          <w:sz w:val="24"/>
          <w:szCs w:val="24"/>
          <w:lang w:val="tr-TR"/>
        </w:rPr>
        <w:t>-2</w:t>
      </w:r>
    </w:p>
    <w:p w:rsidR="004E7C09" w:rsidRDefault="00FE7DC4" w:rsidP="00BF3486">
      <w:pPr>
        <w:pStyle w:val="NoSpacing"/>
        <w:jc w:val="both"/>
        <w:rPr>
          <w:sz w:val="24"/>
          <w:szCs w:val="24"/>
          <w:lang w:val="tr-TR"/>
        </w:rPr>
      </w:pPr>
      <w:r w:rsidRPr="00BF3486">
        <w:rPr>
          <w:b/>
          <w:sz w:val="24"/>
          <w:szCs w:val="24"/>
          <w:lang w:val="tr-TR"/>
        </w:rPr>
        <w:t>Resmi Tatiller</w:t>
      </w:r>
      <w:r w:rsidR="004E7C09" w:rsidRPr="00BF3486">
        <w:rPr>
          <w:b/>
          <w:sz w:val="24"/>
          <w:szCs w:val="24"/>
          <w:lang w:val="tr-TR"/>
        </w:rPr>
        <w:tab/>
      </w:r>
      <w:r w:rsidR="004E7C09" w:rsidRPr="00BF3486">
        <w:rPr>
          <w:b/>
          <w:sz w:val="24"/>
          <w:szCs w:val="24"/>
          <w:lang w:val="tr-TR"/>
        </w:rPr>
        <w:tab/>
      </w:r>
      <w:r w:rsidR="00BF3486">
        <w:rPr>
          <w:b/>
          <w:sz w:val="24"/>
          <w:szCs w:val="24"/>
          <w:lang w:val="tr-TR"/>
        </w:rPr>
        <w:tab/>
      </w:r>
      <w:r w:rsidRPr="00BF3486">
        <w:rPr>
          <w:b/>
          <w:sz w:val="24"/>
          <w:szCs w:val="24"/>
          <w:lang w:val="tr-TR"/>
        </w:rPr>
        <w:t xml:space="preserve">: </w:t>
      </w:r>
      <w:r w:rsidR="00BE1168" w:rsidRPr="00BF3486">
        <w:rPr>
          <w:sz w:val="24"/>
          <w:szCs w:val="24"/>
          <w:lang w:val="tr-TR"/>
        </w:rPr>
        <w:t>1 Ocak (Yeni Yıl), 14 Ocak (Devrim ve Gençlik Bayramı), 20 Mart (Bağımsızlık Günü), 9 Nisan (Şehitler Günü), 1 Mayıs (İşçi Bayramı), 25 Temmuz (Tunus Cumhuriyet Bayramı), 13 Ağustos (Tunus Ulusal Kadın ve Aile Günü), 15 Ekim (Kurtuluş Bayramı)</w:t>
      </w:r>
    </w:p>
    <w:p w:rsidR="00BF3486" w:rsidRPr="00BF3486" w:rsidRDefault="00BF3486" w:rsidP="00BF3486">
      <w:pPr>
        <w:pStyle w:val="NoSpacing"/>
        <w:rPr>
          <w:b/>
          <w:sz w:val="24"/>
          <w:szCs w:val="24"/>
          <w:lang w:val="tr-TR"/>
        </w:rPr>
      </w:pPr>
    </w:p>
    <w:p w:rsidR="00BE1168" w:rsidRDefault="004E7C09" w:rsidP="00BF3486">
      <w:pPr>
        <w:pStyle w:val="NoSpacing"/>
        <w:jc w:val="both"/>
        <w:rPr>
          <w:sz w:val="24"/>
          <w:szCs w:val="24"/>
          <w:lang w:val="pt-PT"/>
        </w:rPr>
      </w:pPr>
      <w:r w:rsidRPr="00BF3486">
        <w:rPr>
          <w:b/>
          <w:sz w:val="24"/>
          <w:szCs w:val="24"/>
          <w:lang w:val="pt-PT"/>
        </w:rPr>
        <w:t>Üyesi Olduğu Uluslararası Kuruluşlar:</w:t>
      </w:r>
      <w:r w:rsidR="00797434" w:rsidRPr="00BF3486">
        <w:rPr>
          <w:b/>
          <w:sz w:val="24"/>
          <w:szCs w:val="24"/>
          <w:lang w:val="pt-PT"/>
        </w:rPr>
        <w:t xml:space="preserve"> </w:t>
      </w:r>
      <w:r w:rsidR="00BE1168" w:rsidRPr="00BF3486">
        <w:rPr>
          <w:sz w:val="24"/>
          <w:szCs w:val="24"/>
          <w:lang w:val="pt-PT"/>
        </w:rPr>
        <w:t>ABEDA, ACCT, AfDB, AFESD, AL, AMF, AMU, BSEC (gözlemci), CCC, ECA, FAO, G-77, IAEA, IBRD, ICAO, ICC, ICFTU, ICRM, IDA, IDB, IFAD, IFC, IFRCS, IHO, ILO, IMF, IMO, Inmarsat, Intelsat, Interpol, IOC, IOM (gözlemci), ISO, ITU, MINURCA, MINURSO, MIPONUH, NAM, OAS (gözlemci), OAU, OIC, OPCW, UN, UNCTAD, UNESCO, UNHCR, UNIDO, UNMIBH, UPU, WFTU, WHO, WIPO, WMO, WTO.</w:t>
      </w:r>
    </w:p>
    <w:p w:rsidR="00BF3486" w:rsidRPr="00BF3486" w:rsidRDefault="00BF3486" w:rsidP="00BF3486">
      <w:pPr>
        <w:pStyle w:val="NoSpacing"/>
        <w:jc w:val="both"/>
        <w:rPr>
          <w:sz w:val="24"/>
          <w:szCs w:val="24"/>
          <w:lang w:val="pt-PT"/>
        </w:rPr>
      </w:pPr>
    </w:p>
    <w:p w:rsidR="00A17E9E" w:rsidRPr="001F71B9" w:rsidRDefault="00A17E9E" w:rsidP="00BF3486">
      <w:pPr>
        <w:pStyle w:val="Heading2"/>
        <w:spacing w:before="0" w:line="240" w:lineRule="auto"/>
        <w:rPr>
          <w:rFonts w:asciiTheme="minorHAnsi" w:hAnsiTheme="minorHAnsi"/>
          <w:sz w:val="24"/>
          <w:szCs w:val="24"/>
        </w:rPr>
      </w:pPr>
      <w:bookmarkStart w:id="1" w:name="_Toc482353099"/>
      <w:r w:rsidRPr="001F71B9">
        <w:rPr>
          <w:rFonts w:asciiTheme="minorHAnsi" w:hAnsiTheme="minorHAnsi"/>
          <w:sz w:val="24"/>
          <w:szCs w:val="24"/>
        </w:rPr>
        <w:t>Siyasi Yapı</w:t>
      </w:r>
      <w:bookmarkEnd w:id="1"/>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Derin bir tarihe sahip olan Tunus, 16. yüzyıldan 19. yüzyılın ikinci yarısına kadar Osmanlı Devleti içerisinde bağımsız bir vilayet olarak yaşamış, 1956 yılında ise Fransa’dan bağımsızlığını ilan etmesi sonrasında 1957 yılında Cumhuriyet ilan edilmiştir. İlk Cumhurbaşkanı Habib Bourguiba 1987 yılına kadar görevde kalmıştır. 1987 yılında dönemin başbakanı Zine El Abidine Ben Ali, Bourgiba’nın sağlık sorunlarını gerekçe göstererek Cumhurbaşkanlığını devralmıştır. 1999’da ülkedeki ilk çok partili Cumhurbaşkanlığı seçimi gerçekleştirilmiştir. 2009’da yapılan seçimlerde Ben Ali %89,62 oy oranıyla beş yıllık dönem için beşinci kez seçilmiştir.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Aralık 2010’da yüksek işsizlik, yolsuzluk, yoksulluk ve yüksek gıda fiyatlarını protesto amacıyla başlayan sokak gösterilerinin devamında, Ocak 2011’de patlak veren isyan sonucunda, 14 Ocak 2011’de Devlet Başkanı Ben Ali hükümeti feshetmiş ve ülkeden ayrılmıştır. Ocak ayı sonunda Başbakan Ghannouchi Fouad M’Bazaa’nın geçici devlet başkanlığında, ulusal birlik hükümeti kurulduğu açıklanmıştır.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24 Temmuz’da gerçekleştirilmesi planlanan seçimler 23 Ekim 2011’de gerçekleştirilmiş ve Ennahda partisi oyların %37’sini alarak parlamentoda 89 koltuk kazanmıştır. Ülkede siyasi dengenin sağlanabilmesi amacıyla, Cumhurbaşkanı Congress for Republic’den (orta sol) </w:t>
      </w:r>
      <w:r w:rsidRPr="001F71B9">
        <w:rPr>
          <w:rFonts w:cs="Times New Roman"/>
          <w:sz w:val="24"/>
          <w:szCs w:val="24"/>
        </w:rPr>
        <w:lastRenderedPageBreak/>
        <w:t xml:space="preserve">Moncef Merzouki, Başbakan Ennahda’dan Hamadi Jebali, Meclis Başkanı ise Ettakattol’dan (sol) Mustafa Bin Jaafar olmuştur. Başbakan Hamadi Jebali’nin açıkladığı kabinede Ennahda stratejik bakanlıkları elde etmiştir. Parlamento bir yıl için görevde olup, yeni anayasa ilan edildikten sonra yeni seçimlerin gerçekleştirilmesi beklenmektedir. Bu doğrultuda, Parlamento Anayasa yazım çalışmalarına Şubat 2012’de başlamış ve anayasa metni Ocak 2014’te onaylanmıştır. </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pStyle w:val="NormalWeb"/>
        <w:shd w:val="clear" w:color="auto" w:fill="FFFFFF"/>
        <w:spacing w:before="0" w:beforeAutospacing="0" w:after="0" w:afterAutospacing="0"/>
        <w:jc w:val="both"/>
        <w:textAlignment w:val="baseline"/>
        <w:rPr>
          <w:rStyle w:val="categorydata3"/>
          <w:rFonts w:asciiTheme="minorHAnsi" w:hAnsiTheme="minorHAnsi" w:cs="Times New Roman"/>
          <w:sz w:val="24"/>
          <w:szCs w:val="24"/>
        </w:rPr>
      </w:pPr>
      <w:r w:rsidRPr="001F71B9">
        <w:rPr>
          <w:rFonts w:asciiTheme="minorHAnsi" w:hAnsiTheme="minorHAnsi"/>
        </w:rPr>
        <w:t xml:space="preserve">Ekim 2012’de başkanlık ve parlamento seçimlerinin Haziran 2013’de yapılmasına karar verilmekle birlikte 6 Şubat 2013 günü muhalif politikacı Şükri Beliyd’in öldürülmesi sonrası ülkede karışıklıklar tekrar başlamıştır. Ülkede 2011 yılından beri uygulanmakta olan olağanüstü hal Tunus Cumhurbaşkanı Moncef Merzouki tarafından Haziran ayına uzatılmış, Başbakan Hamadi Jebali’nin istifasına neden olmuş ve yeni bir hükümet kurulmuştur. Söz konusu olağanüstü hal durumu ilk etapta 3 Temmuz 2013’e kadar uzatılmış ve Merzouki tarafından güvenlik güçlerinin önerisi sonucunda Başbakan ve Tunus Ulusal Meclis Başkanı ile gerçekleştirdiği görüşmeler neticesinde olağanüstü halin üç ay daha uzatılması kararlaştırılmıştır. Ülkede Aralık 2013’ten sonra ortaya çıkan politik istikrar sayesinde Tunus Devlet Başkanı Sn. Merzouki tarafından 6 Mart 2014 tarihinde olağanüstü hal kararı </w:t>
      </w:r>
      <w:r w:rsidR="001F71B9" w:rsidRPr="001F71B9">
        <w:rPr>
          <w:rFonts w:asciiTheme="minorHAnsi" w:hAnsiTheme="minorHAnsi"/>
        </w:rPr>
        <w:t xml:space="preserve">kaldırılmıştır.  Bu doğrultuda, Cumhurbaşkanı </w:t>
      </w:r>
      <w:r w:rsidRPr="001F71B9">
        <w:rPr>
          <w:rFonts w:asciiTheme="minorHAnsi" w:hAnsiTheme="minorHAnsi"/>
          <w:snapToGrid w:val="0"/>
        </w:rPr>
        <w:t>El Bacı Kaid el Sebsi</w:t>
      </w:r>
      <w:r w:rsidRPr="001F71B9">
        <w:rPr>
          <w:rFonts w:asciiTheme="minorHAnsi" w:hAnsiTheme="minorHAnsi"/>
        </w:rPr>
        <w:t xml:space="preserve"> </w:t>
      </w:r>
      <w:r w:rsidR="001F71B9" w:rsidRPr="001F71B9">
        <w:rPr>
          <w:rStyle w:val="categorydata3"/>
          <w:rFonts w:asciiTheme="minorHAnsi" w:hAnsiTheme="minorHAnsi" w:cs="Times New Roman"/>
          <w:sz w:val="24"/>
          <w:szCs w:val="24"/>
        </w:rPr>
        <w:t>olup, baş</w:t>
      </w:r>
      <w:r w:rsidRPr="001F71B9">
        <w:rPr>
          <w:rStyle w:val="categorydata3"/>
          <w:rFonts w:asciiTheme="minorHAnsi" w:hAnsiTheme="minorHAnsi" w:cs="Times New Roman"/>
          <w:sz w:val="24"/>
          <w:szCs w:val="24"/>
        </w:rPr>
        <w:t xml:space="preserve">bakanlık </w:t>
      </w:r>
      <w:r w:rsidRPr="001F71B9">
        <w:rPr>
          <w:rFonts w:asciiTheme="minorHAnsi" w:hAnsiTheme="minorHAnsi"/>
          <w:color w:val="000000" w:themeColor="text1"/>
        </w:rPr>
        <w:t xml:space="preserve">görevini </w:t>
      </w:r>
      <w:r w:rsidR="001F71B9" w:rsidRPr="001F71B9">
        <w:rPr>
          <w:rFonts w:asciiTheme="minorHAnsi" w:hAnsiTheme="minorHAnsi"/>
          <w:color w:val="000000" w:themeColor="text1"/>
        </w:rPr>
        <w:t xml:space="preserve">Youssef Chahed </w:t>
      </w:r>
      <w:r w:rsidRPr="001F71B9">
        <w:rPr>
          <w:rFonts w:asciiTheme="minorHAnsi" w:hAnsiTheme="minorHAnsi"/>
          <w:color w:val="000000" w:themeColor="text1"/>
        </w:rPr>
        <w:t>yürütmektedir</w:t>
      </w:r>
      <w:r w:rsidRPr="001F71B9">
        <w:rPr>
          <w:rStyle w:val="categorydata3"/>
          <w:rFonts w:asciiTheme="minorHAnsi" w:hAnsiTheme="minorHAnsi" w:cs="Times New Roman"/>
          <w:sz w:val="24"/>
          <w:szCs w:val="24"/>
        </w:rPr>
        <w:t>.</w:t>
      </w:r>
    </w:p>
    <w:p w:rsidR="001F71B9" w:rsidRPr="001F71B9" w:rsidRDefault="001F71B9" w:rsidP="00BF3486">
      <w:pPr>
        <w:pStyle w:val="NormalWeb"/>
        <w:shd w:val="clear" w:color="auto" w:fill="FFFFFF"/>
        <w:spacing w:before="0" w:beforeAutospacing="0" w:after="0" w:afterAutospacing="0"/>
        <w:textAlignment w:val="baseline"/>
        <w:rPr>
          <w:rStyle w:val="categorydata3"/>
          <w:rFonts w:asciiTheme="minorHAnsi" w:hAnsiTheme="minorHAnsi" w:cs="Helvetica"/>
          <w:color w:val="404040"/>
          <w:spacing w:val="0"/>
          <w:sz w:val="24"/>
          <w:szCs w:val="24"/>
          <w:lang w:eastAsia="en-US"/>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Bu arada, Cezayir ile sınır dağlık bölgesinde, İslamcı militanlarla mücadele için yapılan askeri harekatın arazi koşulları ve militanların gerilla taktikleri nedeniyle çok uzun süreceği tahmin edilmektedir. Turistik tatil köyleri gibi kalabalık yerleşim yerlerine ve ekonomik altyapıya yapılacak terörist saldırıların, özellikle laik partilerin seçimlerdeki performansının artmasına neden olabilir. Ekonomik durum düzelmez ise yeni hükümet de istikrarı korumak için mücadele edecektir. Kısa vadede istihdamda ve yaşam standardında gelişme beklenmemekte olup halkın memnuniyetsizliğinin devam edeceği tahmin edilmektedir. Önümüzdeki dönemde, siyasi istikrar ekonomik beklentilerin iyileşmesine bağlı olacaktır.</w:t>
      </w:r>
    </w:p>
    <w:p w:rsidR="00F7260D" w:rsidRDefault="00BE1168" w:rsidP="00BF3486">
      <w:pPr>
        <w:spacing w:after="0" w:line="240" w:lineRule="auto"/>
        <w:jc w:val="both"/>
        <w:rPr>
          <w:rFonts w:cs="Times New Roman"/>
          <w:sz w:val="24"/>
          <w:szCs w:val="24"/>
        </w:rPr>
      </w:pPr>
      <w:r w:rsidRPr="001F71B9">
        <w:rPr>
          <w:rFonts w:cs="Times New Roman"/>
          <w:sz w:val="24"/>
          <w:szCs w:val="24"/>
        </w:rPr>
        <w:t>Alternatif bir senaryo ise; Siyasi istikrarı tamamen bozacak siyasi bir geçişin yaşanması, ekonomik koşulların daha da bozulması ve artan terörist saldırılar nedeniyle oluşacak memnuniyetsizlikten kaynaklanacak istikrarsızlıktır. Ancak, istikrarsızlık kitlesel kayıplara sebep olmadığı sürece ordunun hükümeti devirmesi beklenmemektedir.</w:t>
      </w:r>
    </w:p>
    <w:p w:rsidR="00BF3486" w:rsidRPr="001F71B9" w:rsidRDefault="00BF3486" w:rsidP="00BF3486">
      <w:pPr>
        <w:spacing w:after="0" w:line="240" w:lineRule="auto"/>
        <w:jc w:val="both"/>
        <w:rPr>
          <w:sz w:val="24"/>
          <w:szCs w:val="24"/>
        </w:rPr>
      </w:pPr>
    </w:p>
    <w:p w:rsidR="00BE1168" w:rsidRPr="001F71B9" w:rsidRDefault="00BE1168" w:rsidP="00BF3486">
      <w:pPr>
        <w:pStyle w:val="Heading2"/>
        <w:spacing w:before="0" w:line="240" w:lineRule="auto"/>
        <w:rPr>
          <w:rFonts w:asciiTheme="minorHAnsi" w:hAnsiTheme="minorHAnsi"/>
          <w:sz w:val="24"/>
          <w:szCs w:val="24"/>
        </w:rPr>
      </w:pPr>
      <w:bookmarkStart w:id="2" w:name="_Toc482353100"/>
      <w:r w:rsidRPr="001F71B9">
        <w:rPr>
          <w:rFonts w:asciiTheme="minorHAnsi" w:hAnsiTheme="minorHAnsi"/>
          <w:sz w:val="24"/>
          <w:szCs w:val="24"/>
        </w:rPr>
        <w:t>Genel Ekonomik Görünüm</w:t>
      </w:r>
      <w:bookmarkEnd w:id="2"/>
    </w:p>
    <w:tbl>
      <w:tblPr>
        <w:tblStyle w:val="TableGrid"/>
        <w:tblpPr w:leftFromText="141" w:rightFromText="141" w:vertAnchor="text" w:horzAnchor="margin" w:tblpX="108" w:tblpY="163"/>
        <w:tblW w:w="9322" w:type="dxa"/>
        <w:tblLayout w:type="fixed"/>
        <w:tblLook w:val="0000" w:firstRow="0" w:lastRow="0" w:firstColumn="0" w:lastColumn="0" w:noHBand="0" w:noVBand="0"/>
      </w:tblPr>
      <w:tblGrid>
        <w:gridCol w:w="3402"/>
        <w:gridCol w:w="899"/>
        <w:gridCol w:w="1007"/>
        <w:gridCol w:w="1007"/>
        <w:gridCol w:w="1007"/>
        <w:gridCol w:w="1007"/>
        <w:gridCol w:w="993"/>
      </w:tblGrid>
      <w:tr w:rsidR="00BE1168" w:rsidRPr="001F71B9" w:rsidTr="00BE1168">
        <w:trPr>
          <w:trHeight w:val="247"/>
        </w:trPr>
        <w:tc>
          <w:tcPr>
            <w:tcW w:w="3402" w:type="dxa"/>
            <w:vAlign w:val="center"/>
          </w:tcPr>
          <w:p w:rsidR="00BE1168" w:rsidRPr="001F71B9" w:rsidRDefault="00BE1168" w:rsidP="00BF3486">
            <w:pPr>
              <w:pStyle w:val="NoSpacing"/>
              <w:rPr>
                <w:sz w:val="24"/>
                <w:szCs w:val="24"/>
              </w:rPr>
            </w:pPr>
          </w:p>
        </w:tc>
        <w:tc>
          <w:tcPr>
            <w:tcW w:w="899" w:type="dxa"/>
            <w:vAlign w:val="center"/>
          </w:tcPr>
          <w:p w:rsidR="00BE1168" w:rsidRPr="001F71B9" w:rsidRDefault="00BE1168" w:rsidP="00BF3486">
            <w:pPr>
              <w:pStyle w:val="NoSpacing"/>
              <w:jc w:val="center"/>
              <w:rPr>
                <w:b/>
                <w:sz w:val="24"/>
                <w:szCs w:val="24"/>
              </w:rPr>
            </w:pPr>
            <w:r w:rsidRPr="001F71B9">
              <w:rPr>
                <w:b/>
                <w:sz w:val="24"/>
                <w:szCs w:val="24"/>
              </w:rPr>
              <w:t>2012</w:t>
            </w:r>
          </w:p>
        </w:tc>
        <w:tc>
          <w:tcPr>
            <w:tcW w:w="1007" w:type="dxa"/>
            <w:vAlign w:val="center"/>
          </w:tcPr>
          <w:p w:rsidR="00BE1168" w:rsidRPr="001F71B9" w:rsidRDefault="00BE1168" w:rsidP="00BF3486">
            <w:pPr>
              <w:pStyle w:val="NoSpacing"/>
              <w:jc w:val="center"/>
              <w:rPr>
                <w:b/>
                <w:sz w:val="24"/>
                <w:szCs w:val="24"/>
              </w:rPr>
            </w:pPr>
            <w:r w:rsidRPr="001F71B9">
              <w:rPr>
                <w:b/>
                <w:sz w:val="24"/>
                <w:szCs w:val="24"/>
              </w:rPr>
              <w:t>2013</w:t>
            </w:r>
          </w:p>
        </w:tc>
        <w:tc>
          <w:tcPr>
            <w:tcW w:w="1007" w:type="dxa"/>
            <w:vAlign w:val="center"/>
          </w:tcPr>
          <w:p w:rsidR="00BE1168" w:rsidRPr="001F71B9" w:rsidRDefault="00BE1168" w:rsidP="00BF3486">
            <w:pPr>
              <w:pStyle w:val="NoSpacing"/>
              <w:jc w:val="center"/>
              <w:rPr>
                <w:b/>
                <w:sz w:val="24"/>
                <w:szCs w:val="24"/>
              </w:rPr>
            </w:pPr>
            <w:r w:rsidRPr="001F71B9">
              <w:rPr>
                <w:b/>
                <w:sz w:val="24"/>
                <w:szCs w:val="24"/>
              </w:rPr>
              <w:t>2014</w:t>
            </w:r>
          </w:p>
        </w:tc>
        <w:tc>
          <w:tcPr>
            <w:tcW w:w="1007" w:type="dxa"/>
            <w:vAlign w:val="center"/>
          </w:tcPr>
          <w:p w:rsidR="00BE1168" w:rsidRPr="001F71B9" w:rsidRDefault="00BE1168" w:rsidP="00BF3486">
            <w:pPr>
              <w:pStyle w:val="NoSpacing"/>
              <w:jc w:val="center"/>
              <w:rPr>
                <w:b/>
                <w:sz w:val="24"/>
                <w:szCs w:val="24"/>
              </w:rPr>
            </w:pPr>
            <w:r w:rsidRPr="001F71B9">
              <w:rPr>
                <w:b/>
                <w:sz w:val="24"/>
                <w:szCs w:val="24"/>
              </w:rPr>
              <w:t>2015</w:t>
            </w:r>
          </w:p>
        </w:tc>
        <w:tc>
          <w:tcPr>
            <w:tcW w:w="1007" w:type="dxa"/>
            <w:vAlign w:val="center"/>
          </w:tcPr>
          <w:p w:rsidR="00BE1168" w:rsidRPr="001F71B9" w:rsidRDefault="00BE1168" w:rsidP="00BF3486">
            <w:pPr>
              <w:pStyle w:val="NoSpacing"/>
              <w:jc w:val="center"/>
              <w:rPr>
                <w:b/>
                <w:sz w:val="24"/>
                <w:szCs w:val="24"/>
              </w:rPr>
            </w:pPr>
            <w:r w:rsidRPr="001F71B9">
              <w:rPr>
                <w:b/>
                <w:sz w:val="24"/>
                <w:szCs w:val="24"/>
              </w:rPr>
              <w:t>2016</w:t>
            </w:r>
          </w:p>
        </w:tc>
        <w:tc>
          <w:tcPr>
            <w:tcW w:w="993" w:type="dxa"/>
            <w:vAlign w:val="center"/>
          </w:tcPr>
          <w:p w:rsidR="00BE1168" w:rsidRPr="001F71B9" w:rsidRDefault="00BE1168" w:rsidP="00BF3486">
            <w:pPr>
              <w:pStyle w:val="NoSpacing"/>
              <w:jc w:val="center"/>
              <w:rPr>
                <w:b/>
                <w:sz w:val="24"/>
                <w:szCs w:val="24"/>
              </w:rPr>
            </w:pPr>
            <w:r w:rsidRPr="001F71B9">
              <w:rPr>
                <w:b/>
                <w:sz w:val="24"/>
                <w:szCs w:val="24"/>
              </w:rPr>
              <w:t>2017</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r w:rsidRPr="001F71B9">
              <w:rPr>
                <w:b/>
                <w:sz w:val="24"/>
                <w:szCs w:val="24"/>
              </w:rPr>
              <w:t>GSYİH (</w:t>
            </w:r>
            <w:proofErr w:type="spellStart"/>
            <w:r w:rsidRPr="001F71B9">
              <w:rPr>
                <w:b/>
                <w:sz w:val="24"/>
                <w:szCs w:val="24"/>
              </w:rPr>
              <w:t>milyar</w:t>
            </w:r>
            <w:proofErr w:type="spellEnd"/>
            <w:r w:rsidRPr="001F71B9">
              <w:rPr>
                <w:b/>
                <w:sz w:val="24"/>
                <w:szCs w:val="24"/>
              </w:rPr>
              <w:t xml:space="preserve"> </w:t>
            </w:r>
            <w:proofErr w:type="spellStart"/>
            <w:r w:rsidRPr="001F71B9">
              <w:rPr>
                <w:b/>
                <w:sz w:val="24"/>
                <w:szCs w:val="24"/>
              </w:rPr>
              <w:t>dolar</w:t>
            </w:r>
            <w:proofErr w:type="spellEnd"/>
            <w:r w:rsidRPr="001F71B9">
              <w:rPr>
                <w:b/>
                <w:sz w:val="24"/>
                <w:szCs w:val="24"/>
              </w:rPr>
              <w:t>)</w:t>
            </w:r>
          </w:p>
        </w:tc>
        <w:tc>
          <w:tcPr>
            <w:tcW w:w="899" w:type="dxa"/>
            <w:vAlign w:val="center"/>
          </w:tcPr>
          <w:p w:rsidR="00BE1168" w:rsidRPr="001F71B9" w:rsidRDefault="00BE1168" w:rsidP="00BF3486">
            <w:pPr>
              <w:pStyle w:val="NoSpacing"/>
              <w:jc w:val="center"/>
              <w:rPr>
                <w:sz w:val="24"/>
                <w:szCs w:val="24"/>
              </w:rPr>
            </w:pPr>
            <w:r w:rsidRPr="001F71B9">
              <w:rPr>
                <w:sz w:val="24"/>
                <w:szCs w:val="24"/>
              </w:rPr>
              <w:t>45,1</w:t>
            </w:r>
          </w:p>
        </w:tc>
        <w:tc>
          <w:tcPr>
            <w:tcW w:w="1007" w:type="dxa"/>
            <w:vAlign w:val="center"/>
          </w:tcPr>
          <w:p w:rsidR="00BE1168" w:rsidRPr="001F71B9" w:rsidRDefault="00BE1168" w:rsidP="00BF3486">
            <w:pPr>
              <w:pStyle w:val="NoSpacing"/>
              <w:jc w:val="center"/>
              <w:rPr>
                <w:sz w:val="24"/>
                <w:szCs w:val="24"/>
              </w:rPr>
            </w:pPr>
            <w:r w:rsidRPr="001F71B9">
              <w:rPr>
                <w:sz w:val="24"/>
                <w:szCs w:val="24"/>
              </w:rPr>
              <w:t>46,1</w:t>
            </w:r>
          </w:p>
        </w:tc>
        <w:tc>
          <w:tcPr>
            <w:tcW w:w="1007" w:type="dxa"/>
            <w:vAlign w:val="center"/>
          </w:tcPr>
          <w:p w:rsidR="00BE1168" w:rsidRPr="001F71B9" w:rsidRDefault="00BE1168" w:rsidP="00BF3486">
            <w:pPr>
              <w:pStyle w:val="NoSpacing"/>
              <w:jc w:val="center"/>
              <w:rPr>
                <w:sz w:val="24"/>
                <w:szCs w:val="24"/>
              </w:rPr>
            </w:pPr>
            <w:r w:rsidRPr="001F71B9">
              <w:rPr>
                <w:sz w:val="24"/>
                <w:szCs w:val="24"/>
              </w:rPr>
              <w:t>47,4</w:t>
            </w:r>
          </w:p>
        </w:tc>
        <w:tc>
          <w:tcPr>
            <w:tcW w:w="1007" w:type="dxa"/>
            <w:vAlign w:val="center"/>
          </w:tcPr>
          <w:p w:rsidR="00BE1168" w:rsidRPr="001F71B9" w:rsidRDefault="00BE1168" w:rsidP="00BF3486">
            <w:pPr>
              <w:pStyle w:val="NoSpacing"/>
              <w:jc w:val="center"/>
              <w:rPr>
                <w:sz w:val="24"/>
                <w:szCs w:val="24"/>
              </w:rPr>
            </w:pPr>
            <w:r w:rsidRPr="001F71B9">
              <w:rPr>
                <w:sz w:val="24"/>
                <w:szCs w:val="24"/>
              </w:rPr>
              <w:t>43,8</w:t>
            </w:r>
          </w:p>
        </w:tc>
        <w:tc>
          <w:tcPr>
            <w:tcW w:w="1007" w:type="dxa"/>
            <w:vAlign w:val="center"/>
          </w:tcPr>
          <w:p w:rsidR="00BE1168" w:rsidRPr="001F71B9" w:rsidRDefault="00BE1168" w:rsidP="00BF3486">
            <w:pPr>
              <w:pStyle w:val="NoSpacing"/>
              <w:jc w:val="center"/>
              <w:rPr>
                <w:sz w:val="24"/>
                <w:szCs w:val="24"/>
              </w:rPr>
            </w:pPr>
            <w:r w:rsidRPr="001F71B9">
              <w:rPr>
                <w:sz w:val="24"/>
                <w:szCs w:val="24"/>
              </w:rPr>
              <w:t>45,4</w:t>
            </w:r>
          </w:p>
        </w:tc>
        <w:tc>
          <w:tcPr>
            <w:tcW w:w="993" w:type="dxa"/>
            <w:vAlign w:val="center"/>
          </w:tcPr>
          <w:p w:rsidR="00BE1168" w:rsidRPr="001F71B9" w:rsidRDefault="00BE1168" w:rsidP="00BF3486">
            <w:pPr>
              <w:pStyle w:val="NoSpacing"/>
              <w:jc w:val="center"/>
              <w:rPr>
                <w:sz w:val="24"/>
                <w:szCs w:val="24"/>
              </w:rPr>
            </w:pPr>
            <w:r w:rsidRPr="001F71B9">
              <w:rPr>
                <w:sz w:val="24"/>
                <w:szCs w:val="24"/>
              </w:rPr>
              <w:t>43.156</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Kişi</w:t>
            </w:r>
            <w:proofErr w:type="spellEnd"/>
            <w:r w:rsidRPr="001F71B9">
              <w:rPr>
                <w:b/>
                <w:sz w:val="24"/>
                <w:szCs w:val="24"/>
              </w:rPr>
              <w:t xml:space="preserve"> </w:t>
            </w:r>
            <w:proofErr w:type="spellStart"/>
            <w:r w:rsidRPr="001F71B9">
              <w:rPr>
                <w:b/>
                <w:sz w:val="24"/>
                <w:szCs w:val="24"/>
              </w:rPr>
              <w:t>Başına</w:t>
            </w:r>
            <w:proofErr w:type="spellEnd"/>
            <w:r w:rsidRPr="001F71B9">
              <w:rPr>
                <w:b/>
                <w:sz w:val="24"/>
                <w:szCs w:val="24"/>
              </w:rPr>
              <w:t xml:space="preserve"> </w:t>
            </w:r>
            <w:proofErr w:type="spellStart"/>
            <w:r w:rsidRPr="001F71B9">
              <w:rPr>
                <w:b/>
                <w:sz w:val="24"/>
                <w:szCs w:val="24"/>
              </w:rPr>
              <w:t>düşen</w:t>
            </w:r>
            <w:proofErr w:type="spellEnd"/>
            <w:r w:rsidRPr="001F71B9">
              <w:rPr>
                <w:b/>
                <w:sz w:val="24"/>
                <w:szCs w:val="24"/>
              </w:rPr>
              <w:t xml:space="preserve"> GSYIH</w:t>
            </w:r>
          </w:p>
        </w:tc>
        <w:tc>
          <w:tcPr>
            <w:tcW w:w="899" w:type="dxa"/>
            <w:vAlign w:val="center"/>
          </w:tcPr>
          <w:p w:rsidR="00BE1168" w:rsidRPr="001F71B9" w:rsidRDefault="00BE1168" w:rsidP="00BF3486">
            <w:pPr>
              <w:pStyle w:val="NoSpacing"/>
              <w:jc w:val="center"/>
              <w:rPr>
                <w:sz w:val="24"/>
                <w:szCs w:val="24"/>
              </w:rPr>
            </w:pPr>
            <w:r w:rsidRPr="001F71B9">
              <w:rPr>
                <w:sz w:val="24"/>
                <w:szCs w:val="24"/>
              </w:rPr>
              <w:t>4.144</w:t>
            </w:r>
          </w:p>
        </w:tc>
        <w:tc>
          <w:tcPr>
            <w:tcW w:w="1007" w:type="dxa"/>
            <w:vAlign w:val="center"/>
          </w:tcPr>
          <w:p w:rsidR="00BE1168" w:rsidRPr="001F71B9" w:rsidRDefault="00BE1168" w:rsidP="00BF3486">
            <w:pPr>
              <w:pStyle w:val="NoSpacing"/>
              <w:jc w:val="center"/>
              <w:rPr>
                <w:sz w:val="24"/>
                <w:szCs w:val="24"/>
              </w:rPr>
            </w:pPr>
            <w:r w:rsidRPr="001F71B9">
              <w:rPr>
                <w:sz w:val="24"/>
                <w:szCs w:val="24"/>
              </w:rPr>
              <w:t>4.196</w:t>
            </w:r>
          </w:p>
        </w:tc>
        <w:tc>
          <w:tcPr>
            <w:tcW w:w="1007" w:type="dxa"/>
            <w:vAlign w:val="center"/>
          </w:tcPr>
          <w:p w:rsidR="00BE1168" w:rsidRPr="001F71B9" w:rsidRDefault="00BE1168" w:rsidP="00BF3486">
            <w:pPr>
              <w:pStyle w:val="NoSpacing"/>
              <w:jc w:val="center"/>
              <w:rPr>
                <w:sz w:val="24"/>
                <w:szCs w:val="24"/>
              </w:rPr>
            </w:pPr>
            <w:r w:rsidRPr="001F71B9">
              <w:rPr>
                <w:sz w:val="24"/>
                <w:szCs w:val="24"/>
              </w:rPr>
              <w:t>4.266</w:t>
            </w:r>
          </w:p>
        </w:tc>
        <w:tc>
          <w:tcPr>
            <w:tcW w:w="1007" w:type="dxa"/>
            <w:vAlign w:val="center"/>
          </w:tcPr>
          <w:p w:rsidR="00BE1168" w:rsidRPr="001F71B9" w:rsidRDefault="00BE1168" w:rsidP="00BF3486">
            <w:pPr>
              <w:pStyle w:val="NoSpacing"/>
              <w:jc w:val="center"/>
              <w:rPr>
                <w:sz w:val="24"/>
                <w:szCs w:val="24"/>
              </w:rPr>
            </w:pPr>
            <w:r w:rsidRPr="001F71B9">
              <w:rPr>
                <w:sz w:val="24"/>
                <w:szCs w:val="24"/>
              </w:rPr>
              <w:t>3.901</w:t>
            </w:r>
          </w:p>
        </w:tc>
        <w:tc>
          <w:tcPr>
            <w:tcW w:w="1007" w:type="dxa"/>
            <w:vAlign w:val="center"/>
          </w:tcPr>
          <w:p w:rsidR="00BE1168" w:rsidRPr="001F71B9" w:rsidRDefault="00BE1168" w:rsidP="00BF3486">
            <w:pPr>
              <w:pStyle w:val="NoSpacing"/>
              <w:jc w:val="center"/>
              <w:rPr>
                <w:sz w:val="24"/>
                <w:szCs w:val="24"/>
              </w:rPr>
            </w:pPr>
            <w:r w:rsidRPr="001F71B9">
              <w:rPr>
                <w:sz w:val="24"/>
                <w:szCs w:val="24"/>
              </w:rPr>
              <w:t>4.000</w:t>
            </w:r>
          </w:p>
        </w:tc>
        <w:tc>
          <w:tcPr>
            <w:tcW w:w="993" w:type="dxa"/>
            <w:vAlign w:val="center"/>
          </w:tcPr>
          <w:p w:rsidR="00BE1168" w:rsidRPr="001F71B9" w:rsidRDefault="00BE1168" w:rsidP="00BF3486">
            <w:pPr>
              <w:pStyle w:val="NoSpacing"/>
              <w:jc w:val="center"/>
              <w:rPr>
                <w:sz w:val="24"/>
                <w:szCs w:val="24"/>
              </w:rPr>
            </w:pPr>
            <w:r w:rsidRPr="001F71B9">
              <w:rPr>
                <w:sz w:val="24"/>
                <w:szCs w:val="24"/>
              </w:rPr>
              <w:t>3.884</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r w:rsidRPr="001F71B9">
              <w:rPr>
                <w:b/>
                <w:sz w:val="24"/>
                <w:szCs w:val="24"/>
              </w:rPr>
              <w:t xml:space="preserve">Reel </w:t>
            </w:r>
            <w:proofErr w:type="spellStart"/>
            <w:r w:rsidRPr="001F71B9">
              <w:rPr>
                <w:b/>
                <w:sz w:val="24"/>
                <w:szCs w:val="24"/>
              </w:rPr>
              <w:t>Büyüme</w:t>
            </w:r>
            <w:proofErr w:type="spellEnd"/>
            <w:r w:rsidRPr="001F71B9">
              <w:rPr>
                <w:b/>
                <w:sz w:val="24"/>
                <w:szCs w:val="24"/>
              </w:rPr>
              <w:t xml:space="preserve"> </w:t>
            </w:r>
            <w:proofErr w:type="spellStart"/>
            <w:r w:rsidRPr="001F71B9">
              <w:rPr>
                <w:b/>
                <w:sz w:val="24"/>
                <w:szCs w:val="24"/>
              </w:rPr>
              <w:t>Hızı</w:t>
            </w:r>
            <w:proofErr w:type="spellEnd"/>
            <w:r w:rsidRPr="001F71B9">
              <w:rPr>
                <w:b/>
                <w:sz w:val="24"/>
                <w:szCs w:val="24"/>
              </w:rPr>
              <w:t xml:space="preserve"> (%)</w:t>
            </w:r>
          </w:p>
        </w:tc>
        <w:tc>
          <w:tcPr>
            <w:tcW w:w="899" w:type="dxa"/>
            <w:vAlign w:val="center"/>
          </w:tcPr>
          <w:p w:rsidR="00BE1168" w:rsidRPr="001F71B9" w:rsidRDefault="00BE1168" w:rsidP="00BF3486">
            <w:pPr>
              <w:pStyle w:val="NoSpacing"/>
              <w:jc w:val="center"/>
              <w:rPr>
                <w:sz w:val="24"/>
                <w:szCs w:val="24"/>
              </w:rPr>
            </w:pPr>
            <w:r w:rsidRPr="001F71B9">
              <w:rPr>
                <w:sz w:val="24"/>
                <w:szCs w:val="24"/>
              </w:rPr>
              <w:t>3,9</w:t>
            </w:r>
          </w:p>
        </w:tc>
        <w:tc>
          <w:tcPr>
            <w:tcW w:w="1007" w:type="dxa"/>
            <w:vAlign w:val="center"/>
          </w:tcPr>
          <w:p w:rsidR="00BE1168" w:rsidRPr="001F71B9" w:rsidRDefault="00BE1168" w:rsidP="00BF3486">
            <w:pPr>
              <w:pStyle w:val="NoSpacing"/>
              <w:jc w:val="center"/>
              <w:rPr>
                <w:sz w:val="24"/>
                <w:szCs w:val="24"/>
              </w:rPr>
            </w:pPr>
            <w:r w:rsidRPr="001F71B9">
              <w:rPr>
                <w:sz w:val="24"/>
                <w:szCs w:val="24"/>
              </w:rPr>
              <w:t>2,4</w:t>
            </w:r>
          </w:p>
        </w:tc>
        <w:tc>
          <w:tcPr>
            <w:tcW w:w="1007" w:type="dxa"/>
            <w:vAlign w:val="center"/>
          </w:tcPr>
          <w:p w:rsidR="00BE1168" w:rsidRPr="001F71B9" w:rsidRDefault="00BE1168" w:rsidP="00BF3486">
            <w:pPr>
              <w:pStyle w:val="NoSpacing"/>
              <w:jc w:val="center"/>
              <w:rPr>
                <w:sz w:val="24"/>
                <w:szCs w:val="24"/>
              </w:rPr>
            </w:pPr>
            <w:r w:rsidRPr="001F71B9">
              <w:rPr>
                <w:sz w:val="24"/>
                <w:szCs w:val="24"/>
              </w:rPr>
              <w:t>2,3</w:t>
            </w:r>
          </w:p>
        </w:tc>
        <w:tc>
          <w:tcPr>
            <w:tcW w:w="1007" w:type="dxa"/>
            <w:vAlign w:val="center"/>
          </w:tcPr>
          <w:p w:rsidR="00BE1168" w:rsidRPr="001F71B9" w:rsidRDefault="00BE1168" w:rsidP="00BF3486">
            <w:pPr>
              <w:pStyle w:val="NoSpacing"/>
              <w:jc w:val="center"/>
              <w:rPr>
                <w:sz w:val="24"/>
                <w:szCs w:val="24"/>
              </w:rPr>
            </w:pPr>
            <w:r w:rsidRPr="001F71B9">
              <w:rPr>
                <w:sz w:val="24"/>
                <w:szCs w:val="24"/>
              </w:rPr>
              <w:t>0,8</w:t>
            </w:r>
          </w:p>
        </w:tc>
        <w:tc>
          <w:tcPr>
            <w:tcW w:w="1007" w:type="dxa"/>
            <w:vAlign w:val="center"/>
          </w:tcPr>
          <w:p w:rsidR="00BE1168" w:rsidRPr="001F71B9" w:rsidRDefault="00BE1168" w:rsidP="00BF3486">
            <w:pPr>
              <w:pStyle w:val="NoSpacing"/>
              <w:jc w:val="center"/>
              <w:rPr>
                <w:sz w:val="24"/>
                <w:szCs w:val="24"/>
              </w:rPr>
            </w:pPr>
            <w:r w:rsidRPr="001F71B9">
              <w:rPr>
                <w:sz w:val="24"/>
                <w:szCs w:val="24"/>
              </w:rPr>
              <w:t>1,7</w:t>
            </w:r>
          </w:p>
        </w:tc>
        <w:tc>
          <w:tcPr>
            <w:tcW w:w="993" w:type="dxa"/>
            <w:vAlign w:val="center"/>
          </w:tcPr>
          <w:p w:rsidR="00BE1168" w:rsidRPr="001F71B9" w:rsidRDefault="00BE1168" w:rsidP="00BF3486">
            <w:pPr>
              <w:pStyle w:val="NoSpacing"/>
              <w:jc w:val="center"/>
              <w:rPr>
                <w:sz w:val="24"/>
                <w:szCs w:val="24"/>
              </w:rPr>
            </w:pPr>
            <w:r w:rsidRPr="001F71B9">
              <w:rPr>
                <w:sz w:val="24"/>
                <w:szCs w:val="24"/>
              </w:rPr>
              <w:t>1,10</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Enflasyon</w:t>
            </w:r>
            <w:proofErr w:type="spellEnd"/>
            <w:r w:rsidRPr="001F71B9">
              <w:rPr>
                <w:b/>
                <w:sz w:val="24"/>
                <w:szCs w:val="24"/>
              </w:rPr>
              <w:t xml:space="preserve"> </w:t>
            </w:r>
            <w:proofErr w:type="spellStart"/>
            <w:r w:rsidRPr="001F71B9">
              <w:rPr>
                <w:b/>
                <w:sz w:val="24"/>
                <w:szCs w:val="24"/>
              </w:rPr>
              <w:t>Oranı</w:t>
            </w:r>
            <w:proofErr w:type="spellEnd"/>
            <w:r w:rsidRPr="001F71B9">
              <w:rPr>
                <w:b/>
                <w:sz w:val="24"/>
                <w:szCs w:val="24"/>
              </w:rPr>
              <w:t xml:space="preserve"> (</w:t>
            </w:r>
            <w:proofErr w:type="spellStart"/>
            <w:r w:rsidRPr="001F71B9">
              <w:rPr>
                <w:b/>
                <w:sz w:val="24"/>
                <w:szCs w:val="24"/>
              </w:rPr>
              <w:t>ortalama</w:t>
            </w:r>
            <w:proofErr w:type="spellEnd"/>
            <w:r w:rsidRPr="001F71B9">
              <w:rPr>
                <w:b/>
                <w:sz w:val="24"/>
                <w:szCs w:val="24"/>
              </w:rPr>
              <w:t>, %)</w:t>
            </w:r>
          </w:p>
        </w:tc>
        <w:tc>
          <w:tcPr>
            <w:tcW w:w="899" w:type="dxa"/>
            <w:vAlign w:val="center"/>
          </w:tcPr>
          <w:p w:rsidR="00BE1168" w:rsidRPr="001F71B9" w:rsidRDefault="00BE1168" w:rsidP="00BF3486">
            <w:pPr>
              <w:pStyle w:val="NoSpacing"/>
              <w:jc w:val="center"/>
              <w:rPr>
                <w:sz w:val="24"/>
                <w:szCs w:val="24"/>
              </w:rPr>
            </w:pPr>
            <w:r w:rsidRPr="001F71B9">
              <w:rPr>
                <w:sz w:val="24"/>
                <w:szCs w:val="24"/>
              </w:rPr>
              <w:t>5,6</w:t>
            </w:r>
          </w:p>
        </w:tc>
        <w:tc>
          <w:tcPr>
            <w:tcW w:w="1007" w:type="dxa"/>
            <w:vAlign w:val="center"/>
          </w:tcPr>
          <w:p w:rsidR="00BE1168" w:rsidRPr="001F71B9" w:rsidRDefault="00BE1168" w:rsidP="00BF3486">
            <w:pPr>
              <w:pStyle w:val="NoSpacing"/>
              <w:jc w:val="center"/>
              <w:rPr>
                <w:sz w:val="24"/>
                <w:szCs w:val="24"/>
              </w:rPr>
            </w:pPr>
            <w:r w:rsidRPr="001F71B9">
              <w:rPr>
                <w:sz w:val="24"/>
                <w:szCs w:val="24"/>
              </w:rPr>
              <w:t>6,1</w:t>
            </w:r>
          </w:p>
        </w:tc>
        <w:tc>
          <w:tcPr>
            <w:tcW w:w="1007" w:type="dxa"/>
            <w:vAlign w:val="center"/>
          </w:tcPr>
          <w:p w:rsidR="00BE1168" w:rsidRPr="001F71B9" w:rsidRDefault="00BE1168" w:rsidP="00BF3486">
            <w:pPr>
              <w:pStyle w:val="NoSpacing"/>
              <w:jc w:val="center"/>
              <w:rPr>
                <w:sz w:val="24"/>
                <w:szCs w:val="24"/>
              </w:rPr>
            </w:pPr>
            <w:r w:rsidRPr="001F71B9">
              <w:rPr>
                <w:sz w:val="24"/>
                <w:szCs w:val="24"/>
              </w:rPr>
              <w:t>5,5</w:t>
            </w:r>
          </w:p>
        </w:tc>
        <w:tc>
          <w:tcPr>
            <w:tcW w:w="1007" w:type="dxa"/>
            <w:vAlign w:val="center"/>
          </w:tcPr>
          <w:p w:rsidR="00BE1168" w:rsidRPr="001F71B9" w:rsidRDefault="00BE1168" w:rsidP="00BF3486">
            <w:pPr>
              <w:pStyle w:val="NoSpacing"/>
              <w:jc w:val="center"/>
              <w:rPr>
                <w:sz w:val="24"/>
                <w:szCs w:val="24"/>
              </w:rPr>
            </w:pPr>
            <w:r w:rsidRPr="001F71B9">
              <w:rPr>
                <w:sz w:val="24"/>
                <w:szCs w:val="24"/>
              </w:rPr>
              <w:t>4,9</w:t>
            </w:r>
          </w:p>
        </w:tc>
        <w:tc>
          <w:tcPr>
            <w:tcW w:w="1007" w:type="dxa"/>
            <w:vAlign w:val="center"/>
          </w:tcPr>
          <w:p w:rsidR="00BE1168" w:rsidRPr="001F71B9" w:rsidRDefault="00BE1168" w:rsidP="00BF3486">
            <w:pPr>
              <w:pStyle w:val="NoSpacing"/>
              <w:jc w:val="center"/>
              <w:rPr>
                <w:sz w:val="24"/>
                <w:szCs w:val="24"/>
              </w:rPr>
            </w:pPr>
            <w:r w:rsidRPr="001F71B9">
              <w:rPr>
                <w:sz w:val="24"/>
                <w:szCs w:val="24"/>
              </w:rPr>
              <w:t>4,0</w:t>
            </w:r>
          </w:p>
        </w:tc>
        <w:tc>
          <w:tcPr>
            <w:tcW w:w="993" w:type="dxa"/>
            <w:vAlign w:val="center"/>
          </w:tcPr>
          <w:p w:rsidR="00BE1168" w:rsidRPr="001F71B9" w:rsidRDefault="00BE1168" w:rsidP="00BF3486">
            <w:pPr>
              <w:pStyle w:val="NoSpacing"/>
              <w:jc w:val="center"/>
              <w:rPr>
                <w:sz w:val="24"/>
                <w:szCs w:val="24"/>
              </w:rPr>
            </w:pPr>
            <w:r w:rsidRPr="001F71B9">
              <w:rPr>
                <w:sz w:val="24"/>
                <w:szCs w:val="24"/>
              </w:rPr>
              <w:t>4,8</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İhracat</w:t>
            </w:r>
            <w:proofErr w:type="spellEnd"/>
            <w:r w:rsidRPr="001F71B9">
              <w:rPr>
                <w:b/>
                <w:sz w:val="24"/>
                <w:szCs w:val="24"/>
              </w:rPr>
              <w:t xml:space="preserve"> (</w:t>
            </w:r>
            <w:proofErr w:type="spellStart"/>
            <w:r w:rsidRPr="001F71B9">
              <w:rPr>
                <w:b/>
                <w:sz w:val="24"/>
                <w:szCs w:val="24"/>
              </w:rPr>
              <w:t>milyar</w:t>
            </w:r>
            <w:proofErr w:type="spellEnd"/>
            <w:r w:rsidRPr="001F71B9">
              <w:rPr>
                <w:b/>
                <w:sz w:val="24"/>
                <w:szCs w:val="24"/>
              </w:rPr>
              <w:t xml:space="preserve"> $ )</w:t>
            </w:r>
          </w:p>
        </w:tc>
        <w:tc>
          <w:tcPr>
            <w:tcW w:w="899" w:type="dxa"/>
            <w:vAlign w:val="center"/>
          </w:tcPr>
          <w:p w:rsidR="00BE1168" w:rsidRPr="001F71B9" w:rsidRDefault="00BE1168" w:rsidP="00BF3486">
            <w:pPr>
              <w:pStyle w:val="NoSpacing"/>
              <w:jc w:val="center"/>
              <w:rPr>
                <w:sz w:val="24"/>
                <w:szCs w:val="24"/>
              </w:rPr>
            </w:pPr>
            <w:r w:rsidRPr="001F71B9">
              <w:rPr>
                <w:sz w:val="24"/>
                <w:szCs w:val="24"/>
              </w:rPr>
              <w:t>17,0</w:t>
            </w:r>
          </w:p>
        </w:tc>
        <w:tc>
          <w:tcPr>
            <w:tcW w:w="1007" w:type="dxa"/>
            <w:vAlign w:val="center"/>
          </w:tcPr>
          <w:p w:rsidR="00BE1168" w:rsidRPr="001F71B9" w:rsidRDefault="00BE1168" w:rsidP="00BF3486">
            <w:pPr>
              <w:pStyle w:val="NoSpacing"/>
              <w:jc w:val="center"/>
              <w:rPr>
                <w:sz w:val="24"/>
                <w:szCs w:val="24"/>
              </w:rPr>
            </w:pPr>
            <w:r w:rsidRPr="001F71B9">
              <w:rPr>
                <w:sz w:val="24"/>
                <w:szCs w:val="24"/>
              </w:rPr>
              <w:t>17,1</w:t>
            </w:r>
          </w:p>
        </w:tc>
        <w:tc>
          <w:tcPr>
            <w:tcW w:w="1007" w:type="dxa"/>
            <w:vAlign w:val="center"/>
          </w:tcPr>
          <w:p w:rsidR="00BE1168" w:rsidRPr="001F71B9" w:rsidRDefault="00BE1168" w:rsidP="00BF3486">
            <w:pPr>
              <w:pStyle w:val="NoSpacing"/>
              <w:jc w:val="center"/>
              <w:rPr>
                <w:sz w:val="24"/>
                <w:szCs w:val="24"/>
              </w:rPr>
            </w:pPr>
            <w:r w:rsidRPr="001F71B9">
              <w:rPr>
                <w:sz w:val="24"/>
                <w:szCs w:val="24"/>
              </w:rPr>
              <w:t>16,7</w:t>
            </w:r>
          </w:p>
        </w:tc>
        <w:tc>
          <w:tcPr>
            <w:tcW w:w="1007" w:type="dxa"/>
            <w:vAlign w:val="center"/>
          </w:tcPr>
          <w:p w:rsidR="00BE1168" w:rsidRPr="001F71B9" w:rsidRDefault="00BE1168" w:rsidP="00BF3486">
            <w:pPr>
              <w:pStyle w:val="NoSpacing"/>
              <w:jc w:val="center"/>
              <w:rPr>
                <w:sz w:val="24"/>
                <w:szCs w:val="24"/>
              </w:rPr>
            </w:pPr>
            <w:r w:rsidRPr="001F71B9">
              <w:rPr>
                <w:sz w:val="24"/>
                <w:szCs w:val="24"/>
              </w:rPr>
              <w:t>14,1</w:t>
            </w:r>
          </w:p>
        </w:tc>
        <w:tc>
          <w:tcPr>
            <w:tcW w:w="1007" w:type="dxa"/>
            <w:vAlign w:val="center"/>
          </w:tcPr>
          <w:p w:rsidR="00BE1168" w:rsidRPr="001F71B9" w:rsidRDefault="00BE1168" w:rsidP="00BF3486">
            <w:pPr>
              <w:pStyle w:val="NoSpacing"/>
              <w:jc w:val="center"/>
              <w:rPr>
                <w:sz w:val="24"/>
                <w:szCs w:val="24"/>
              </w:rPr>
            </w:pPr>
            <w:r w:rsidRPr="001F71B9">
              <w:rPr>
                <w:sz w:val="24"/>
                <w:szCs w:val="24"/>
              </w:rPr>
              <w:t>13,7</w:t>
            </w:r>
          </w:p>
        </w:tc>
        <w:tc>
          <w:tcPr>
            <w:tcW w:w="993" w:type="dxa"/>
            <w:vAlign w:val="center"/>
          </w:tcPr>
          <w:p w:rsidR="00BE1168" w:rsidRPr="001F71B9" w:rsidRDefault="00BE1168" w:rsidP="00BF3486">
            <w:pPr>
              <w:pStyle w:val="NoSpacing"/>
              <w:jc w:val="center"/>
              <w:rPr>
                <w:sz w:val="24"/>
                <w:szCs w:val="24"/>
              </w:rPr>
            </w:pPr>
            <w:r w:rsidRPr="001F71B9">
              <w:rPr>
                <w:sz w:val="24"/>
                <w:szCs w:val="24"/>
              </w:rPr>
              <w:t>2,0*</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İthalat</w:t>
            </w:r>
            <w:proofErr w:type="spellEnd"/>
            <w:r w:rsidRPr="001F71B9">
              <w:rPr>
                <w:b/>
                <w:sz w:val="24"/>
                <w:szCs w:val="24"/>
              </w:rPr>
              <w:t xml:space="preserve"> (</w:t>
            </w:r>
            <w:proofErr w:type="spellStart"/>
            <w:r w:rsidRPr="001F71B9">
              <w:rPr>
                <w:b/>
                <w:sz w:val="24"/>
                <w:szCs w:val="24"/>
              </w:rPr>
              <w:t>milyar</w:t>
            </w:r>
            <w:proofErr w:type="spellEnd"/>
            <w:r w:rsidRPr="001F71B9">
              <w:rPr>
                <w:b/>
                <w:sz w:val="24"/>
                <w:szCs w:val="24"/>
              </w:rPr>
              <w:t xml:space="preserve"> $ )</w:t>
            </w:r>
          </w:p>
        </w:tc>
        <w:tc>
          <w:tcPr>
            <w:tcW w:w="899" w:type="dxa"/>
            <w:vAlign w:val="center"/>
          </w:tcPr>
          <w:p w:rsidR="00BE1168" w:rsidRPr="001F71B9" w:rsidRDefault="00BE1168" w:rsidP="00BF3486">
            <w:pPr>
              <w:pStyle w:val="NoSpacing"/>
              <w:jc w:val="center"/>
              <w:rPr>
                <w:sz w:val="24"/>
                <w:szCs w:val="24"/>
              </w:rPr>
            </w:pPr>
            <w:r w:rsidRPr="001F71B9">
              <w:rPr>
                <w:sz w:val="24"/>
                <w:szCs w:val="24"/>
              </w:rPr>
              <w:t>23,1</w:t>
            </w:r>
          </w:p>
        </w:tc>
        <w:tc>
          <w:tcPr>
            <w:tcW w:w="1007" w:type="dxa"/>
            <w:vAlign w:val="center"/>
          </w:tcPr>
          <w:p w:rsidR="00BE1168" w:rsidRPr="001F71B9" w:rsidRDefault="00BE1168" w:rsidP="00BF3486">
            <w:pPr>
              <w:pStyle w:val="NoSpacing"/>
              <w:jc w:val="center"/>
              <w:rPr>
                <w:sz w:val="24"/>
                <w:szCs w:val="24"/>
              </w:rPr>
            </w:pPr>
            <w:r w:rsidRPr="001F71B9">
              <w:rPr>
                <w:sz w:val="24"/>
                <w:szCs w:val="24"/>
              </w:rPr>
              <w:t>23,0</w:t>
            </w:r>
          </w:p>
        </w:tc>
        <w:tc>
          <w:tcPr>
            <w:tcW w:w="1007" w:type="dxa"/>
            <w:vAlign w:val="center"/>
          </w:tcPr>
          <w:p w:rsidR="00BE1168" w:rsidRPr="001F71B9" w:rsidRDefault="00BE1168" w:rsidP="00BF3486">
            <w:pPr>
              <w:pStyle w:val="NoSpacing"/>
              <w:jc w:val="center"/>
              <w:rPr>
                <w:sz w:val="24"/>
                <w:szCs w:val="24"/>
              </w:rPr>
            </w:pPr>
            <w:r w:rsidRPr="001F71B9">
              <w:rPr>
                <w:sz w:val="24"/>
                <w:szCs w:val="24"/>
              </w:rPr>
              <w:t>23,4</w:t>
            </w:r>
          </w:p>
        </w:tc>
        <w:tc>
          <w:tcPr>
            <w:tcW w:w="1007" w:type="dxa"/>
            <w:vAlign w:val="center"/>
          </w:tcPr>
          <w:p w:rsidR="00BE1168" w:rsidRPr="001F71B9" w:rsidRDefault="00BE1168" w:rsidP="00BF3486">
            <w:pPr>
              <w:pStyle w:val="NoSpacing"/>
              <w:jc w:val="center"/>
              <w:rPr>
                <w:sz w:val="24"/>
                <w:szCs w:val="24"/>
              </w:rPr>
            </w:pPr>
            <w:r w:rsidRPr="001F71B9">
              <w:rPr>
                <w:sz w:val="24"/>
                <w:szCs w:val="24"/>
              </w:rPr>
              <w:t>19,1</w:t>
            </w:r>
          </w:p>
        </w:tc>
        <w:tc>
          <w:tcPr>
            <w:tcW w:w="1007" w:type="dxa"/>
            <w:vAlign w:val="center"/>
          </w:tcPr>
          <w:p w:rsidR="00BE1168" w:rsidRPr="001F71B9" w:rsidRDefault="00BE1168" w:rsidP="00BF3486">
            <w:pPr>
              <w:pStyle w:val="NoSpacing"/>
              <w:jc w:val="center"/>
              <w:rPr>
                <w:sz w:val="24"/>
                <w:szCs w:val="24"/>
              </w:rPr>
            </w:pPr>
            <w:r w:rsidRPr="001F71B9">
              <w:rPr>
                <w:sz w:val="24"/>
                <w:szCs w:val="24"/>
              </w:rPr>
              <w:t>18,8</w:t>
            </w:r>
          </w:p>
        </w:tc>
        <w:tc>
          <w:tcPr>
            <w:tcW w:w="993" w:type="dxa"/>
            <w:vAlign w:val="center"/>
          </w:tcPr>
          <w:p w:rsidR="00BE1168" w:rsidRPr="001F71B9" w:rsidRDefault="00BE1168" w:rsidP="00BF3486">
            <w:pPr>
              <w:pStyle w:val="NoSpacing"/>
              <w:jc w:val="center"/>
              <w:rPr>
                <w:sz w:val="24"/>
                <w:szCs w:val="24"/>
              </w:rPr>
            </w:pPr>
            <w:r w:rsidRPr="001F71B9">
              <w:rPr>
                <w:sz w:val="24"/>
                <w:szCs w:val="24"/>
              </w:rPr>
              <w:t>3,1*</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Cari</w:t>
            </w:r>
            <w:proofErr w:type="spellEnd"/>
            <w:r w:rsidRPr="001F71B9">
              <w:rPr>
                <w:b/>
                <w:sz w:val="24"/>
                <w:szCs w:val="24"/>
              </w:rPr>
              <w:t xml:space="preserve"> </w:t>
            </w:r>
            <w:proofErr w:type="spellStart"/>
            <w:r w:rsidRPr="001F71B9">
              <w:rPr>
                <w:b/>
                <w:sz w:val="24"/>
                <w:szCs w:val="24"/>
              </w:rPr>
              <w:t>İşlemler</w:t>
            </w:r>
            <w:proofErr w:type="spellEnd"/>
            <w:r w:rsidRPr="001F71B9">
              <w:rPr>
                <w:b/>
                <w:sz w:val="24"/>
                <w:szCs w:val="24"/>
              </w:rPr>
              <w:t xml:space="preserve"> </w:t>
            </w:r>
            <w:proofErr w:type="spellStart"/>
            <w:r w:rsidRPr="001F71B9">
              <w:rPr>
                <w:b/>
                <w:sz w:val="24"/>
                <w:szCs w:val="24"/>
              </w:rPr>
              <w:t>Dengesi</w:t>
            </w:r>
            <w:proofErr w:type="spellEnd"/>
            <w:r w:rsidRPr="001F71B9">
              <w:rPr>
                <w:b/>
                <w:sz w:val="24"/>
                <w:szCs w:val="24"/>
              </w:rPr>
              <w:t xml:space="preserve"> (</w:t>
            </w:r>
            <w:proofErr w:type="spellStart"/>
            <w:r w:rsidRPr="001F71B9">
              <w:rPr>
                <w:b/>
                <w:sz w:val="24"/>
                <w:szCs w:val="24"/>
              </w:rPr>
              <w:t>milyar</w:t>
            </w:r>
            <w:proofErr w:type="spellEnd"/>
            <w:r w:rsidRPr="001F71B9">
              <w:rPr>
                <w:b/>
                <w:sz w:val="24"/>
                <w:szCs w:val="24"/>
              </w:rPr>
              <w:t xml:space="preserve"> $)</w:t>
            </w:r>
          </w:p>
        </w:tc>
        <w:tc>
          <w:tcPr>
            <w:tcW w:w="899" w:type="dxa"/>
            <w:vAlign w:val="center"/>
          </w:tcPr>
          <w:p w:rsidR="00BE1168" w:rsidRPr="001F71B9" w:rsidRDefault="00BE1168" w:rsidP="00BF3486">
            <w:pPr>
              <w:pStyle w:val="NoSpacing"/>
              <w:jc w:val="center"/>
              <w:rPr>
                <w:sz w:val="24"/>
                <w:szCs w:val="24"/>
              </w:rPr>
            </w:pPr>
            <w:r w:rsidRPr="001F71B9">
              <w:rPr>
                <w:sz w:val="24"/>
                <w:szCs w:val="24"/>
              </w:rPr>
              <w:t>-3,7</w:t>
            </w:r>
          </w:p>
        </w:tc>
        <w:tc>
          <w:tcPr>
            <w:tcW w:w="1007" w:type="dxa"/>
            <w:vAlign w:val="center"/>
          </w:tcPr>
          <w:p w:rsidR="00BE1168" w:rsidRPr="001F71B9" w:rsidRDefault="00BE1168" w:rsidP="00BF3486">
            <w:pPr>
              <w:pStyle w:val="NoSpacing"/>
              <w:jc w:val="center"/>
              <w:rPr>
                <w:sz w:val="24"/>
                <w:szCs w:val="24"/>
              </w:rPr>
            </w:pPr>
            <w:r w:rsidRPr="001F71B9">
              <w:rPr>
                <w:sz w:val="24"/>
                <w:szCs w:val="24"/>
              </w:rPr>
              <w:t>-3,9</w:t>
            </w:r>
          </w:p>
        </w:tc>
        <w:tc>
          <w:tcPr>
            <w:tcW w:w="1007" w:type="dxa"/>
            <w:vAlign w:val="center"/>
          </w:tcPr>
          <w:p w:rsidR="00BE1168" w:rsidRPr="001F71B9" w:rsidRDefault="00BE1168" w:rsidP="00BF3486">
            <w:pPr>
              <w:pStyle w:val="NoSpacing"/>
              <w:jc w:val="center"/>
              <w:rPr>
                <w:sz w:val="24"/>
                <w:szCs w:val="24"/>
              </w:rPr>
            </w:pPr>
            <w:r w:rsidRPr="001F71B9">
              <w:rPr>
                <w:sz w:val="24"/>
                <w:szCs w:val="24"/>
              </w:rPr>
              <w:t>-4,3</w:t>
            </w:r>
          </w:p>
        </w:tc>
        <w:tc>
          <w:tcPr>
            <w:tcW w:w="1007" w:type="dxa"/>
            <w:vAlign w:val="center"/>
          </w:tcPr>
          <w:p w:rsidR="00BE1168" w:rsidRPr="001F71B9" w:rsidRDefault="00BE1168" w:rsidP="00BF3486">
            <w:pPr>
              <w:pStyle w:val="NoSpacing"/>
              <w:jc w:val="center"/>
              <w:rPr>
                <w:sz w:val="24"/>
                <w:szCs w:val="24"/>
              </w:rPr>
            </w:pPr>
            <w:r w:rsidRPr="001F71B9">
              <w:rPr>
                <w:sz w:val="24"/>
                <w:szCs w:val="24"/>
              </w:rPr>
              <w:t>-3,9</w:t>
            </w:r>
          </w:p>
        </w:tc>
        <w:tc>
          <w:tcPr>
            <w:tcW w:w="1007" w:type="dxa"/>
            <w:vAlign w:val="center"/>
          </w:tcPr>
          <w:p w:rsidR="00BE1168" w:rsidRPr="001F71B9" w:rsidRDefault="00BE1168" w:rsidP="00BF3486">
            <w:pPr>
              <w:pStyle w:val="NoSpacing"/>
              <w:jc w:val="center"/>
              <w:rPr>
                <w:sz w:val="24"/>
                <w:szCs w:val="24"/>
              </w:rPr>
            </w:pPr>
            <w:r w:rsidRPr="001F71B9">
              <w:rPr>
                <w:sz w:val="24"/>
                <w:szCs w:val="24"/>
              </w:rPr>
              <w:t>-4,1</w:t>
            </w:r>
          </w:p>
        </w:tc>
        <w:tc>
          <w:tcPr>
            <w:tcW w:w="993" w:type="dxa"/>
            <w:vAlign w:val="center"/>
          </w:tcPr>
          <w:p w:rsidR="00BE1168" w:rsidRPr="001F71B9" w:rsidRDefault="00BE1168" w:rsidP="00BF3486">
            <w:pPr>
              <w:pStyle w:val="NoSpacing"/>
              <w:jc w:val="center"/>
              <w:rPr>
                <w:sz w:val="24"/>
                <w:szCs w:val="24"/>
              </w:rPr>
            </w:pPr>
            <w:r w:rsidRPr="001F71B9">
              <w:rPr>
                <w:sz w:val="24"/>
                <w:szCs w:val="24"/>
              </w:rPr>
              <w:t>-1,1*</w:t>
            </w:r>
          </w:p>
        </w:tc>
      </w:tr>
      <w:tr w:rsidR="00BE1168" w:rsidRPr="001F71B9" w:rsidTr="00BE1168">
        <w:trPr>
          <w:trHeight w:val="274"/>
        </w:trPr>
        <w:tc>
          <w:tcPr>
            <w:tcW w:w="3402" w:type="dxa"/>
            <w:vAlign w:val="center"/>
          </w:tcPr>
          <w:p w:rsidR="00BE1168" w:rsidRPr="001F71B9" w:rsidRDefault="00BE1168" w:rsidP="00BF3486">
            <w:pPr>
              <w:pStyle w:val="NoSpacing"/>
              <w:rPr>
                <w:b/>
                <w:sz w:val="24"/>
                <w:szCs w:val="24"/>
              </w:rPr>
            </w:pPr>
            <w:proofErr w:type="spellStart"/>
            <w:r w:rsidRPr="001F71B9">
              <w:rPr>
                <w:b/>
                <w:sz w:val="24"/>
                <w:szCs w:val="24"/>
              </w:rPr>
              <w:t>Toplam</w:t>
            </w:r>
            <w:proofErr w:type="spellEnd"/>
            <w:r w:rsidRPr="001F71B9">
              <w:rPr>
                <w:b/>
                <w:sz w:val="24"/>
                <w:szCs w:val="24"/>
              </w:rPr>
              <w:t xml:space="preserve"> Dış </w:t>
            </w:r>
            <w:proofErr w:type="spellStart"/>
            <w:r w:rsidRPr="001F71B9">
              <w:rPr>
                <w:b/>
                <w:sz w:val="24"/>
                <w:szCs w:val="24"/>
              </w:rPr>
              <w:t>Borç</w:t>
            </w:r>
            <w:proofErr w:type="spellEnd"/>
            <w:r w:rsidRPr="001F71B9">
              <w:rPr>
                <w:b/>
                <w:sz w:val="24"/>
                <w:szCs w:val="24"/>
              </w:rPr>
              <w:t xml:space="preserve"> (</w:t>
            </w:r>
            <w:proofErr w:type="spellStart"/>
            <w:r w:rsidRPr="001F71B9">
              <w:rPr>
                <w:b/>
                <w:sz w:val="24"/>
                <w:szCs w:val="24"/>
              </w:rPr>
              <w:t>milyar</w:t>
            </w:r>
            <w:proofErr w:type="spellEnd"/>
            <w:r w:rsidRPr="001F71B9">
              <w:rPr>
                <w:b/>
                <w:sz w:val="24"/>
                <w:szCs w:val="24"/>
              </w:rPr>
              <w:t xml:space="preserve"> $)</w:t>
            </w:r>
          </w:p>
        </w:tc>
        <w:tc>
          <w:tcPr>
            <w:tcW w:w="899" w:type="dxa"/>
            <w:vAlign w:val="center"/>
          </w:tcPr>
          <w:p w:rsidR="00BE1168" w:rsidRPr="001F71B9" w:rsidRDefault="00BE1168" w:rsidP="00BF3486">
            <w:pPr>
              <w:pStyle w:val="NoSpacing"/>
              <w:jc w:val="center"/>
              <w:rPr>
                <w:sz w:val="24"/>
                <w:szCs w:val="24"/>
              </w:rPr>
            </w:pPr>
            <w:r w:rsidRPr="001F71B9">
              <w:rPr>
                <w:sz w:val="24"/>
                <w:szCs w:val="24"/>
              </w:rPr>
              <w:t>25,3</w:t>
            </w:r>
          </w:p>
        </w:tc>
        <w:tc>
          <w:tcPr>
            <w:tcW w:w="1007" w:type="dxa"/>
            <w:vAlign w:val="center"/>
          </w:tcPr>
          <w:p w:rsidR="00BE1168" w:rsidRPr="001F71B9" w:rsidRDefault="00BE1168" w:rsidP="00BF3486">
            <w:pPr>
              <w:pStyle w:val="NoSpacing"/>
              <w:jc w:val="center"/>
              <w:rPr>
                <w:sz w:val="24"/>
                <w:szCs w:val="24"/>
              </w:rPr>
            </w:pPr>
            <w:r w:rsidRPr="001F71B9">
              <w:rPr>
                <w:sz w:val="24"/>
                <w:szCs w:val="24"/>
              </w:rPr>
              <w:t>25,7</w:t>
            </w:r>
          </w:p>
        </w:tc>
        <w:tc>
          <w:tcPr>
            <w:tcW w:w="1007" w:type="dxa"/>
            <w:vAlign w:val="center"/>
          </w:tcPr>
          <w:p w:rsidR="00BE1168" w:rsidRPr="001F71B9" w:rsidRDefault="00BE1168" w:rsidP="00BF3486">
            <w:pPr>
              <w:pStyle w:val="NoSpacing"/>
              <w:jc w:val="center"/>
              <w:rPr>
                <w:sz w:val="24"/>
                <w:szCs w:val="24"/>
              </w:rPr>
            </w:pPr>
            <w:r w:rsidRPr="001F71B9">
              <w:rPr>
                <w:sz w:val="24"/>
                <w:szCs w:val="24"/>
              </w:rPr>
              <w:t>26,4</w:t>
            </w:r>
          </w:p>
        </w:tc>
        <w:tc>
          <w:tcPr>
            <w:tcW w:w="1007" w:type="dxa"/>
            <w:vAlign w:val="center"/>
          </w:tcPr>
          <w:p w:rsidR="00BE1168" w:rsidRPr="001F71B9" w:rsidRDefault="00BE1168" w:rsidP="00BF3486">
            <w:pPr>
              <w:pStyle w:val="NoSpacing"/>
              <w:jc w:val="center"/>
              <w:rPr>
                <w:sz w:val="24"/>
                <w:szCs w:val="24"/>
              </w:rPr>
            </w:pPr>
            <w:r w:rsidRPr="001F71B9">
              <w:rPr>
                <w:sz w:val="24"/>
                <w:szCs w:val="24"/>
              </w:rPr>
              <w:t>28,4</w:t>
            </w:r>
          </w:p>
        </w:tc>
        <w:tc>
          <w:tcPr>
            <w:tcW w:w="1007" w:type="dxa"/>
            <w:vAlign w:val="center"/>
          </w:tcPr>
          <w:p w:rsidR="00BE1168" w:rsidRPr="001F71B9" w:rsidRDefault="00BE1168" w:rsidP="00BF3486">
            <w:pPr>
              <w:pStyle w:val="NoSpacing"/>
              <w:jc w:val="center"/>
              <w:rPr>
                <w:sz w:val="24"/>
                <w:szCs w:val="24"/>
              </w:rPr>
            </w:pPr>
            <w:r w:rsidRPr="001F71B9">
              <w:rPr>
                <w:sz w:val="24"/>
                <w:szCs w:val="24"/>
              </w:rPr>
              <w:t>30,7</w:t>
            </w:r>
          </w:p>
        </w:tc>
        <w:tc>
          <w:tcPr>
            <w:tcW w:w="993" w:type="dxa"/>
            <w:vAlign w:val="center"/>
          </w:tcPr>
          <w:p w:rsidR="00BE1168" w:rsidRPr="001F71B9" w:rsidRDefault="00BE1168" w:rsidP="00BF3486">
            <w:pPr>
              <w:pStyle w:val="NoSpacing"/>
              <w:jc w:val="center"/>
              <w:rPr>
                <w:sz w:val="24"/>
                <w:szCs w:val="24"/>
              </w:rPr>
            </w:pPr>
            <w:r w:rsidRPr="001F71B9">
              <w:rPr>
                <w:sz w:val="24"/>
                <w:szCs w:val="24"/>
              </w:rPr>
              <w:t>-</w:t>
            </w:r>
          </w:p>
        </w:tc>
      </w:tr>
    </w:tbl>
    <w:p w:rsidR="00BE1168" w:rsidRPr="001F71B9" w:rsidRDefault="00BE1168" w:rsidP="00BF3486">
      <w:pPr>
        <w:pStyle w:val="Quote"/>
        <w:spacing w:after="0" w:line="240" w:lineRule="auto"/>
        <w:rPr>
          <w:sz w:val="24"/>
          <w:szCs w:val="24"/>
        </w:rPr>
      </w:pPr>
      <w:r w:rsidRPr="001F71B9">
        <w:rPr>
          <w:sz w:val="24"/>
          <w:szCs w:val="24"/>
        </w:rPr>
        <w:t>Kaynak: BMI, IMF. *2017 Ocak-Şubat</w:t>
      </w:r>
    </w:p>
    <w:p w:rsidR="00BF3486" w:rsidRDefault="00BF3486" w:rsidP="00BF3486">
      <w:pPr>
        <w:spacing w:after="0" w:line="240" w:lineRule="auto"/>
        <w:rPr>
          <w:sz w:val="24"/>
          <w:szCs w:val="24"/>
        </w:rPr>
      </w:pPr>
    </w:p>
    <w:p w:rsidR="00BE1168" w:rsidRDefault="00BE1168" w:rsidP="00BF3486">
      <w:pPr>
        <w:spacing w:after="0" w:line="240" w:lineRule="auto"/>
        <w:jc w:val="both"/>
        <w:rPr>
          <w:sz w:val="24"/>
          <w:szCs w:val="24"/>
        </w:rPr>
      </w:pPr>
      <w:r w:rsidRPr="001F71B9">
        <w:rPr>
          <w:sz w:val="24"/>
          <w:szCs w:val="24"/>
        </w:rPr>
        <w:lastRenderedPageBreak/>
        <w:t xml:space="preserve">Tunus ekonomisi bölgedeki en çeşitlendirilmiş ekonomi olup, kıtanın en yüksek yaşam standartlarına sahip olan ülkelerinden biridir. Her ne kadar komşuları Libya ve Cezayir gibi geniş hidrokarbon rezervlerine sahip olmasa da uzun dönemli hükümet politikaları sayesinde tarım, turizm ve imalat sanayiinde büyümüştür.  Ekonomi, turizm başta olmak üzere, hizmet sektörü, tarım, tekstil, </w:t>
      </w:r>
      <w:proofErr w:type="gramStart"/>
      <w:r w:rsidRPr="001F71B9">
        <w:rPr>
          <w:sz w:val="24"/>
          <w:szCs w:val="24"/>
        </w:rPr>
        <w:t>konfeksiyon</w:t>
      </w:r>
      <w:proofErr w:type="gramEnd"/>
      <w:r w:rsidRPr="001F71B9">
        <w:rPr>
          <w:sz w:val="24"/>
          <w:szCs w:val="24"/>
        </w:rPr>
        <w:t>, hafif sanayiler ile petrol ve fosfat üretimine dayanmaktadır.</w:t>
      </w:r>
    </w:p>
    <w:p w:rsidR="00BF3486" w:rsidRPr="001F71B9" w:rsidRDefault="00BF3486" w:rsidP="00BF3486">
      <w:pPr>
        <w:spacing w:after="0" w:line="240" w:lineRule="auto"/>
        <w:jc w:val="both"/>
        <w:rPr>
          <w:sz w:val="24"/>
          <w:szCs w:val="24"/>
        </w:rPr>
      </w:pPr>
    </w:p>
    <w:p w:rsidR="00BE1168" w:rsidRPr="001F71B9" w:rsidRDefault="00BE1168" w:rsidP="00BF3486">
      <w:pPr>
        <w:pStyle w:val="Heading3"/>
        <w:spacing w:before="0" w:line="240" w:lineRule="auto"/>
        <w:rPr>
          <w:rFonts w:asciiTheme="minorHAnsi" w:hAnsiTheme="minorHAnsi"/>
          <w:sz w:val="24"/>
          <w:szCs w:val="24"/>
        </w:rPr>
      </w:pPr>
      <w:bookmarkStart w:id="3" w:name="_Toc482353101"/>
      <w:r w:rsidRPr="001F71B9">
        <w:rPr>
          <w:rFonts w:asciiTheme="minorHAnsi" w:hAnsiTheme="minorHAnsi"/>
          <w:sz w:val="24"/>
          <w:szCs w:val="24"/>
        </w:rPr>
        <w:t>Yıllık GSYIH Büyüme Oranları (%)</w:t>
      </w:r>
      <w:bookmarkEnd w:id="3"/>
    </w:p>
    <w:p w:rsidR="00BE1168" w:rsidRPr="001F71B9" w:rsidRDefault="00BE1168" w:rsidP="00BF3486">
      <w:pPr>
        <w:spacing w:after="0" w:line="240" w:lineRule="auto"/>
        <w:rPr>
          <w:sz w:val="24"/>
          <w:szCs w:val="24"/>
        </w:rPr>
      </w:pPr>
      <w:r w:rsidRPr="001F71B9">
        <w:rPr>
          <w:noProof/>
          <w:sz w:val="24"/>
          <w:szCs w:val="24"/>
          <w:lang w:eastAsia="tr-TR"/>
        </w:rPr>
        <w:drawing>
          <wp:inline distT="0" distB="0" distL="0" distR="0" wp14:anchorId="13058454" wp14:editId="55B2476E">
            <wp:extent cx="3324225" cy="1976819"/>
            <wp:effectExtent l="0" t="0" r="0" b="4445"/>
            <wp:docPr id="1" name="Picture 1" descr="C:\Users\afrikastaj\Desktop\tunus\Yıllık GSYIH Büyüme Oranları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ikastaj\Desktop\tunus\Yıllık GSYIH Büyüme Oranları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7863" cy="1978982"/>
                    </a:xfrm>
                    <a:prstGeom prst="rect">
                      <a:avLst/>
                    </a:prstGeom>
                    <a:noFill/>
                    <a:ln>
                      <a:noFill/>
                    </a:ln>
                  </pic:spPr>
                </pic:pic>
              </a:graphicData>
            </a:graphic>
          </wp:inline>
        </w:drawing>
      </w:r>
    </w:p>
    <w:p w:rsidR="00BE1168" w:rsidRDefault="00BE1168" w:rsidP="00BF3486">
      <w:pPr>
        <w:pStyle w:val="Quote"/>
        <w:spacing w:after="0" w:line="240" w:lineRule="auto"/>
        <w:rPr>
          <w:sz w:val="24"/>
          <w:szCs w:val="24"/>
        </w:rPr>
      </w:pPr>
      <w:r w:rsidRPr="001F71B9">
        <w:rPr>
          <w:sz w:val="24"/>
          <w:szCs w:val="24"/>
        </w:rPr>
        <w:t xml:space="preserve">Kaynak: ISA </w:t>
      </w:r>
      <w:proofErr w:type="spellStart"/>
      <w:r w:rsidRPr="001F71B9">
        <w:rPr>
          <w:sz w:val="24"/>
          <w:szCs w:val="24"/>
        </w:rPr>
        <w:t>Economic</w:t>
      </w:r>
      <w:proofErr w:type="spellEnd"/>
      <w:r w:rsidRPr="001F71B9">
        <w:rPr>
          <w:sz w:val="24"/>
          <w:szCs w:val="24"/>
        </w:rPr>
        <w:t xml:space="preserve"> </w:t>
      </w:r>
      <w:proofErr w:type="spellStart"/>
      <w:r w:rsidRPr="001F71B9">
        <w:rPr>
          <w:sz w:val="24"/>
          <w:szCs w:val="24"/>
        </w:rPr>
        <w:t>Forecasts</w:t>
      </w:r>
      <w:proofErr w:type="spellEnd"/>
      <w:r w:rsidRPr="001F71B9">
        <w:rPr>
          <w:sz w:val="24"/>
          <w:szCs w:val="24"/>
        </w:rPr>
        <w:t xml:space="preserve">, </w:t>
      </w:r>
      <w:proofErr w:type="spellStart"/>
      <w:r w:rsidRPr="001F71B9">
        <w:rPr>
          <w:sz w:val="24"/>
          <w:szCs w:val="24"/>
        </w:rPr>
        <w:t>national</w:t>
      </w:r>
      <w:proofErr w:type="spellEnd"/>
      <w:r w:rsidRPr="001F71B9">
        <w:rPr>
          <w:sz w:val="24"/>
          <w:szCs w:val="24"/>
        </w:rPr>
        <w:t xml:space="preserve"> </w:t>
      </w:r>
      <w:proofErr w:type="spellStart"/>
      <w:r w:rsidRPr="001F71B9">
        <w:rPr>
          <w:sz w:val="24"/>
          <w:szCs w:val="24"/>
        </w:rPr>
        <w:t>statistics</w:t>
      </w:r>
      <w:proofErr w:type="spellEnd"/>
    </w:p>
    <w:p w:rsidR="00BF3486" w:rsidRPr="00BF3486" w:rsidRDefault="00BF3486" w:rsidP="00BF3486"/>
    <w:p w:rsidR="00BE1168" w:rsidRDefault="00BE1168" w:rsidP="00BF3486">
      <w:pPr>
        <w:spacing w:after="0" w:line="240" w:lineRule="auto"/>
        <w:jc w:val="both"/>
        <w:rPr>
          <w:sz w:val="24"/>
          <w:szCs w:val="24"/>
        </w:rPr>
      </w:pPr>
      <w:r w:rsidRPr="001F71B9">
        <w:rPr>
          <w:sz w:val="24"/>
          <w:szCs w:val="24"/>
        </w:rPr>
        <w:t xml:space="preserve">Serbest piyasa ekonomisi 1980’li yılların sonlarına doğru ağırlık kazanmaya başlamıştır. Tunus ekonomisi tarım, madencilik, enerji ve imalat sektörleriyle gelişen bir ekonomidir. Tunus, tarım ve balıkçılıkta, özellikle zeytinyağında önemli bir tedarikçi ülke konumundadır. Dünya fosfat üretiminde ilk sıralarda yer alan Tunus, fosfatı işleyerek fosforik asit ve gübreye dönüştürmektedir. Tunus aynı zamanda önemli bir turizm merkezidir. Turizmin ülke GSYİH’si ve istihdamında rolü büyüktür. Başta Fransa olmak üzere tüm AB ülkeleri ile önemli ticaret ilişkileri mevcut olup, AB’nin 4. büyük tekstil tedarikçisi konumundadır.  </w:t>
      </w:r>
    </w:p>
    <w:p w:rsidR="00BF3486" w:rsidRPr="001F71B9" w:rsidRDefault="00BF3486" w:rsidP="00BF3486">
      <w:pPr>
        <w:spacing w:after="0" w:line="240" w:lineRule="auto"/>
        <w:rPr>
          <w:sz w:val="24"/>
          <w:szCs w:val="24"/>
        </w:rPr>
      </w:pPr>
    </w:p>
    <w:p w:rsidR="00BE1168" w:rsidRDefault="00BE1168" w:rsidP="00BF3486">
      <w:pPr>
        <w:spacing w:after="0" w:line="240" w:lineRule="auto"/>
        <w:jc w:val="both"/>
        <w:rPr>
          <w:sz w:val="24"/>
          <w:szCs w:val="24"/>
        </w:rPr>
      </w:pPr>
      <w:r w:rsidRPr="001F71B9">
        <w:rPr>
          <w:sz w:val="24"/>
          <w:szCs w:val="24"/>
        </w:rPr>
        <w:t xml:space="preserve">Tunus devrim sonrasında ekonomik olarak küçülme sergilemiştir. 2008 yılına kadar ortalama %5 oranında büyüme sergileyen ülke küresel krizin etkisiyle 2008 yılında %4,6, 2009 yılında %2,7, 2010 yılında %3,9 oranında büyümüştür. 2011 yılında yaşanan Arap Baharı ile birlikte ekonomisi yaklaşık %2 oranında küçülen ülkenin 2012’de %3,6, 2013 yılında %2,7 büyüdüğü; 2014 yılında %3 oranında büyüme sergileyeceği tahmin edilmektedir.   </w:t>
      </w:r>
    </w:p>
    <w:p w:rsidR="00BF3486" w:rsidRPr="001F71B9" w:rsidRDefault="00BF3486" w:rsidP="00BF3486">
      <w:pPr>
        <w:spacing w:after="0" w:line="240" w:lineRule="auto"/>
        <w:jc w:val="both"/>
        <w:rPr>
          <w:sz w:val="24"/>
          <w:szCs w:val="24"/>
        </w:rPr>
      </w:pPr>
    </w:p>
    <w:p w:rsidR="00BE1168" w:rsidRPr="001F71B9" w:rsidRDefault="00BE1168" w:rsidP="00BF3486">
      <w:pPr>
        <w:pStyle w:val="Heading3"/>
        <w:spacing w:before="0" w:line="240" w:lineRule="auto"/>
        <w:rPr>
          <w:rFonts w:asciiTheme="minorHAnsi" w:hAnsiTheme="minorHAnsi"/>
          <w:sz w:val="24"/>
          <w:szCs w:val="24"/>
        </w:rPr>
      </w:pPr>
      <w:bookmarkStart w:id="4" w:name="_Toc482353102"/>
      <w:r w:rsidRPr="001F71B9">
        <w:rPr>
          <w:rFonts w:asciiTheme="minorHAnsi" w:hAnsiTheme="minorHAnsi"/>
          <w:sz w:val="24"/>
          <w:szCs w:val="24"/>
        </w:rPr>
        <w:t>Yıllık Enflasyon Oranları (%)</w:t>
      </w:r>
      <w:bookmarkEnd w:id="4"/>
    </w:p>
    <w:p w:rsidR="00BE1168" w:rsidRPr="001F71B9" w:rsidRDefault="00BE1168" w:rsidP="00BF3486">
      <w:pPr>
        <w:spacing w:after="0" w:line="240" w:lineRule="auto"/>
        <w:rPr>
          <w:b/>
          <w:sz w:val="24"/>
          <w:szCs w:val="24"/>
        </w:rPr>
      </w:pPr>
      <w:r w:rsidRPr="001F71B9">
        <w:rPr>
          <w:b/>
          <w:noProof/>
          <w:sz w:val="24"/>
          <w:szCs w:val="24"/>
          <w:lang w:eastAsia="tr-TR"/>
        </w:rPr>
        <w:drawing>
          <wp:inline distT="0" distB="0" distL="0" distR="0" wp14:anchorId="336B3AA7" wp14:editId="33B5DD87">
            <wp:extent cx="3228975" cy="1892082"/>
            <wp:effectExtent l="0" t="0" r="0" b="0"/>
            <wp:docPr id="3" name="Picture 3" descr="C:\Users\afrikastaj\Desktop\tunus\Yıllık Enflasyon Oranları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ikastaj\Desktop\tunus\Yıllık Enflasyon Oranları (%).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574" cy="1894191"/>
                    </a:xfrm>
                    <a:prstGeom prst="rect">
                      <a:avLst/>
                    </a:prstGeom>
                    <a:noFill/>
                    <a:ln>
                      <a:noFill/>
                    </a:ln>
                  </pic:spPr>
                </pic:pic>
              </a:graphicData>
            </a:graphic>
          </wp:inline>
        </w:drawing>
      </w:r>
    </w:p>
    <w:p w:rsidR="00BE1168" w:rsidRPr="001F71B9" w:rsidRDefault="00BE1168" w:rsidP="00BF3486">
      <w:pPr>
        <w:pStyle w:val="Quote"/>
        <w:spacing w:after="0" w:line="240" w:lineRule="auto"/>
        <w:rPr>
          <w:sz w:val="24"/>
          <w:szCs w:val="24"/>
        </w:rPr>
      </w:pPr>
      <w:r w:rsidRPr="001F71B9">
        <w:rPr>
          <w:sz w:val="24"/>
          <w:szCs w:val="24"/>
        </w:rPr>
        <w:t>Kaynak: ISA Economic Forecasts, national statistics</w:t>
      </w:r>
    </w:p>
    <w:p w:rsidR="00BE1168" w:rsidRDefault="00BE1168" w:rsidP="00BF3486">
      <w:pPr>
        <w:spacing w:after="0" w:line="240" w:lineRule="auto"/>
        <w:jc w:val="both"/>
        <w:rPr>
          <w:sz w:val="24"/>
          <w:szCs w:val="24"/>
        </w:rPr>
      </w:pPr>
      <w:r w:rsidRPr="001F71B9">
        <w:rPr>
          <w:sz w:val="24"/>
          <w:szCs w:val="24"/>
        </w:rPr>
        <w:lastRenderedPageBreak/>
        <w:t xml:space="preserve">Tunus GSYİH’sının %8,9’unu tarım, % 61,5’ini hizmet, % 29,6’sını ise sanayi sektörü oluşturmaktadır. Enflasyon artış oranı göreceli olarak düşük seviyede olup 2012 yılı itibariyle %5,6 olan enflasyon oranının 2013 yılında %6’ya yükseldiği tahmin edilmektedir. Tunus ekonomisinin en güncel problemi işsizlik olarak görülmektedir. 2012 için işsizlik oranı  %16,7 olarak gerçekleştiği tahmin edilmekle birlikte 2011 yılına göre %2,2 oranında bir azalma meydana gelmiş, genç ve kadın nüfusunun işsizlik oranı sırasıyla %33, %24 oranlarında gerçekleşmiş olup, yüksek seyretmektedir. Tunus’un önemli oranlarda eğitimli (üniversite mezunu) ve yetenekli işgücüne sahip olması ve üniversiteli işsiz oranının fazlalığı bu sorunu daha kritik hale getirmektedir.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Tunus, 1995 yılında AB ile bir ortaklık anlaşması imzalamıştır. Bu, AB ile 2008 yılına kadar tarım ürünleri dışında sınaî ürünlere uygulanan gümrük duvarlarının kaldırılmasını öngören bir anlaşmadır.  Söz konusu anlaşmanın devamında Tunus, Kasım 2012’de “İleri ve Ayrıcalıklı Ortak” statüsüne yükseltilmiştir.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Mısır, Fas ve Ürdün ile Serbest Ticaret Anlaşması bulunan Tunus, Genel Preferanslar Sistemi çerçevesinde ABD, Kanada, İsviçre, Avustralya ve Japonya’nın da tercihli tarifelerinden yararlanmaktadır.</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Yaşanan olaylar sonrasında orta vadede Tunus’un yaşayabileceği en önemli mesele ekonomik reformlardır. Özellikle %20’lere ulaşan işsizlik oranı akabinde gerçekleştirilecek reformlarda bölgesel eşitsizlik ve farklılıkların giderilmesi gerekmektedir. Ayrıca Tunus’taki bir diğer önemli sorun da iş </w:t>
      </w:r>
      <w:proofErr w:type="gramStart"/>
      <w:r w:rsidRPr="001F71B9">
        <w:rPr>
          <w:sz w:val="24"/>
          <w:szCs w:val="24"/>
        </w:rPr>
        <w:t>imkanları</w:t>
      </w:r>
      <w:proofErr w:type="gramEnd"/>
      <w:r w:rsidRPr="001F71B9">
        <w:rPr>
          <w:sz w:val="24"/>
          <w:szCs w:val="24"/>
        </w:rPr>
        <w:t xml:space="preserve"> ile insan kaynağının niteliği arasındaki farklılık, zayıf altyapı ve yabancı yatırımlardır.</w:t>
      </w:r>
    </w:p>
    <w:p w:rsidR="00BF3486" w:rsidRPr="001F71B9" w:rsidRDefault="00BF3486" w:rsidP="00BF3486">
      <w:pPr>
        <w:spacing w:after="0" w:line="240" w:lineRule="auto"/>
        <w:jc w:val="both"/>
        <w:rPr>
          <w:sz w:val="24"/>
          <w:szCs w:val="24"/>
        </w:rPr>
      </w:pPr>
    </w:p>
    <w:p w:rsidR="00BE1168" w:rsidRPr="001F71B9" w:rsidRDefault="00BE1168" w:rsidP="00BF3486">
      <w:pPr>
        <w:spacing w:after="0" w:line="240" w:lineRule="auto"/>
        <w:rPr>
          <w:sz w:val="24"/>
          <w:szCs w:val="24"/>
        </w:rPr>
      </w:pPr>
      <w:r w:rsidRPr="001F71B9">
        <w:rPr>
          <w:sz w:val="24"/>
          <w:szCs w:val="24"/>
        </w:rPr>
        <w:t xml:space="preserve">Yeni hükümet ekonomiyi dengelemek için büyük bir çaba sarfetmektedir. Özellikle iş çevrelerinin ve yatırımcıların ülkeye çekilmesi, bütçe açığının kontrol altına alınması, işsizliğin azaltılması, bölgeler arasındaki dengesizliklerin ortadan kaldırılması gerekmektedir. </w:t>
      </w:r>
    </w:p>
    <w:p w:rsidR="00BE1168" w:rsidRDefault="00BE1168" w:rsidP="00BF3486">
      <w:pPr>
        <w:spacing w:after="0" w:line="240" w:lineRule="auto"/>
        <w:jc w:val="both"/>
        <w:rPr>
          <w:sz w:val="24"/>
          <w:szCs w:val="24"/>
        </w:rPr>
      </w:pPr>
      <w:r w:rsidRPr="001F71B9">
        <w:rPr>
          <w:sz w:val="24"/>
          <w:szCs w:val="24"/>
        </w:rPr>
        <w:t xml:space="preserve">Hükümet, yatırımcıları desteklemek için yabancı yatırımcıların ülkeye gelmeleri, yatırım yapmaları konusunda açık olduklarını ve ekonomide reforma gideceklerini belirtmekte olmasına rağmen ekonominin stratejik sektörleri (finans, hidrokarbon, ulusal havayolu, elektrik ve gaz dağıtımı ve su </w:t>
      </w:r>
      <w:proofErr w:type="spellStart"/>
      <w:r w:rsidRPr="001F71B9">
        <w:rPr>
          <w:sz w:val="24"/>
          <w:szCs w:val="24"/>
        </w:rPr>
        <w:t>kaynakarı</w:t>
      </w:r>
      <w:proofErr w:type="spellEnd"/>
      <w:r w:rsidRPr="001F71B9">
        <w:rPr>
          <w:sz w:val="24"/>
          <w:szCs w:val="24"/>
        </w:rPr>
        <w:t>) hala devlet kontrolündedir.</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2018 yılına kadar Tunus’un GSYİH’ndaki artışın yılda %4’ün üzerinde olacağı tahmin edilmektedir. Bu dönemde, sanayi üretiminin yılda ortalama %4,2 oranında büyümesi ve tarım üretiminin ise %2,6 oranında büyümesi beklenmektedir. Aynı dönemde enflasyonun yılda ortalama %4,6 oranında artacağı tahmin edilmektedir.</w:t>
      </w:r>
    </w:p>
    <w:p w:rsidR="00BF3486" w:rsidRPr="001F71B9" w:rsidRDefault="00BF3486" w:rsidP="00BF3486">
      <w:pPr>
        <w:spacing w:after="0" w:line="240" w:lineRule="auto"/>
        <w:jc w:val="both"/>
        <w:rPr>
          <w:rFonts w:cs="Times New Roman"/>
          <w:sz w:val="24"/>
          <w:szCs w:val="24"/>
        </w:rPr>
      </w:pPr>
    </w:p>
    <w:p w:rsidR="00A17E9E" w:rsidRPr="001F71B9" w:rsidRDefault="00A17E9E" w:rsidP="00BF3486">
      <w:pPr>
        <w:pStyle w:val="Heading1"/>
        <w:spacing w:before="0" w:line="240" w:lineRule="auto"/>
        <w:rPr>
          <w:rFonts w:asciiTheme="minorHAnsi" w:hAnsiTheme="minorHAnsi"/>
          <w:sz w:val="24"/>
          <w:szCs w:val="24"/>
        </w:rPr>
      </w:pPr>
      <w:bookmarkStart w:id="5" w:name="_Toc482353103"/>
      <w:r w:rsidRPr="001F71B9">
        <w:rPr>
          <w:rFonts w:asciiTheme="minorHAnsi" w:hAnsiTheme="minorHAnsi"/>
          <w:sz w:val="24"/>
          <w:szCs w:val="24"/>
        </w:rPr>
        <w:t>Sektörler</w:t>
      </w:r>
      <w:bookmarkEnd w:id="5"/>
    </w:p>
    <w:p w:rsidR="00BF3486" w:rsidRDefault="00BF3486" w:rsidP="00BF3486">
      <w:pPr>
        <w:pStyle w:val="Heading2"/>
        <w:spacing w:before="0" w:line="240" w:lineRule="auto"/>
        <w:rPr>
          <w:rFonts w:asciiTheme="minorHAnsi" w:hAnsiTheme="minorHAnsi"/>
          <w:sz w:val="24"/>
          <w:szCs w:val="24"/>
        </w:rPr>
      </w:pPr>
      <w:bookmarkStart w:id="6" w:name="_Toc482353104"/>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Tarım ve Balıkçılık</w:t>
      </w:r>
      <w:bookmarkEnd w:id="6"/>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Tarım ve balıkçılık Tunus ekonomisinde önemli yer tutmaktadır. 2012 yılı rakamlarına göre sektörün GSYİH’deki payı%13 seviyesindedir. Bunun yanı sıra ihracatın %9’u tarım sektörü tarafından gerçekleştirilmektedir. Sektör nüfusun %16’sını istihdam etmektedir.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sz w:val="24"/>
          <w:szCs w:val="24"/>
        </w:rPr>
      </w:pPr>
      <w:r w:rsidRPr="001F71B9">
        <w:rPr>
          <w:sz w:val="24"/>
          <w:szCs w:val="24"/>
        </w:rPr>
        <w:t xml:space="preserve">Tarım alanlarının büyüklüğü 8,5 milyon hektar olup bunun 4,9 milyon hektar’ı kullanılmaktadır. Bu alanların %90’ı özel sektöre aittir. Ülkede tarımla uğraşan nüfus 516.000 </w:t>
      </w:r>
      <w:r w:rsidRPr="001F71B9">
        <w:rPr>
          <w:sz w:val="24"/>
          <w:szCs w:val="24"/>
        </w:rPr>
        <w:lastRenderedPageBreak/>
        <w:t xml:space="preserve">dolaylarındadır. XI. Kalkınma Planında tarıma özel yer ayrılarak üretimin artırılması öngörülmektedir. Bunun için modern teknik ve yöntemlerin kullanılmasının gereği vurgulanmaktadır. </w:t>
      </w:r>
    </w:p>
    <w:p w:rsidR="00BF3486" w:rsidRPr="001F71B9" w:rsidRDefault="00BF3486" w:rsidP="00BF3486">
      <w:pPr>
        <w:spacing w:after="0" w:line="240" w:lineRule="auto"/>
        <w:jc w:val="both"/>
        <w:rPr>
          <w:sz w:val="24"/>
          <w:szCs w:val="24"/>
        </w:rPr>
      </w:pPr>
    </w:p>
    <w:p w:rsidR="00BF3486" w:rsidRDefault="00BE1168" w:rsidP="00BF3486">
      <w:pPr>
        <w:spacing w:after="0" w:line="240" w:lineRule="auto"/>
        <w:jc w:val="both"/>
        <w:rPr>
          <w:rFonts w:cs="Times New Roman"/>
          <w:sz w:val="24"/>
          <w:szCs w:val="24"/>
        </w:rPr>
      </w:pPr>
      <w:r w:rsidRPr="001F71B9">
        <w:rPr>
          <w:rFonts w:cs="Times New Roman"/>
          <w:sz w:val="24"/>
          <w:szCs w:val="24"/>
        </w:rPr>
        <w:t xml:space="preserve">Zeytincilik ve zeytinyağı belli başlı tarım ürünlerinin başında gelmektedir. Tunus, İspanya ve İtalya gibi ülkelerin </w:t>
      </w:r>
      <w:proofErr w:type="gramStart"/>
      <w:r w:rsidRPr="001F71B9">
        <w:rPr>
          <w:rFonts w:cs="Times New Roman"/>
          <w:sz w:val="24"/>
          <w:szCs w:val="24"/>
        </w:rPr>
        <w:t>dahil</w:t>
      </w:r>
      <w:proofErr w:type="gramEnd"/>
      <w:r w:rsidRPr="001F71B9">
        <w:rPr>
          <w:rFonts w:cs="Times New Roman"/>
          <w:sz w:val="24"/>
          <w:szCs w:val="24"/>
        </w:rPr>
        <w:t xml:space="preserve"> olduğu AB grubundan sonra en fazla zeytinyağı üreten ülkedir. </w:t>
      </w:r>
    </w:p>
    <w:p w:rsidR="00BF3486" w:rsidRDefault="00BF3486" w:rsidP="00BF3486">
      <w:pPr>
        <w:spacing w:after="0" w:line="240" w:lineRule="auto"/>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Üretimin yaklaşık %75’i ihraç edilmekte olup, Tunus dünyanın en büyük dördüncü zeytinyağı ihracatçısıdır. Aynı zamanda Tunus dünyanın en büyük hurma ihracatçısıdır.</w:t>
      </w:r>
    </w:p>
    <w:p w:rsidR="00BF3486" w:rsidRPr="001F71B9" w:rsidRDefault="00BF3486" w:rsidP="00BF3486">
      <w:pPr>
        <w:spacing w:after="0" w:line="240" w:lineRule="auto"/>
        <w:rPr>
          <w:rFonts w:cs="Times New Roman"/>
          <w:sz w:val="24"/>
          <w:szCs w:val="24"/>
        </w:rPr>
      </w:pPr>
    </w:p>
    <w:p w:rsidR="00BE1168" w:rsidRDefault="00BE1168" w:rsidP="00BF3486">
      <w:pPr>
        <w:spacing w:after="0" w:line="240" w:lineRule="auto"/>
        <w:jc w:val="both"/>
        <w:rPr>
          <w:sz w:val="24"/>
          <w:szCs w:val="24"/>
        </w:rPr>
      </w:pPr>
      <w:r w:rsidRPr="001F71B9">
        <w:rPr>
          <w:sz w:val="24"/>
          <w:szCs w:val="24"/>
        </w:rPr>
        <w:t>Ülkenin başlıca ihracat maddeleri; zeytinyağı (%43), deniz ürünleri (%14), hurma (%13), hububat (%12), tohum yağları (%3), meşrubat (%8), konserve ürünleri (%4) ve diğer tarım ürünleridir (%3).</w:t>
      </w:r>
    </w:p>
    <w:p w:rsidR="00BF3486" w:rsidRPr="001F71B9" w:rsidRDefault="00BF3486" w:rsidP="00BF3486">
      <w:pPr>
        <w:spacing w:after="0" w:line="240" w:lineRule="auto"/>
        <w:rPr>
          <w:sz w:val="24"/>
          <w:szCs w:val="24"/>
        </w:rPr>
      </w:pPr>
    </w:p>
    <w:p w:rsidR="00BE1168" w:rsidRDefault="00BE1168" w:rsidP="00BF3486">
      <w:pPr>
        <w:spacing w:after="0" w:line="240" w:lineRule="auto"/>
        <w:jc w:val="both"/>
        <w:rPr>
          <w:sz w:val="24"/>
          <w:szCs w:val="24"/>
        </w:rPr>
      </w:pPr>
      <w:r w:rsidRPr="001F71B9">
        <w:rPr>
          <w:sz w:val="24"/>
          <w:szCs w:val="24"/>
        </w:rPr>
        <w:t xml:space="preserve">Tarım ve balıkçılık sektöründe ihraç edilen ürünlerin ülkelere göre dağılımlarına bakıldığı zaman; İtalya %42 ile ilk sırada yer alırken, onu, %14 ile İspanya, %13 ile Fransa, %6 ile İsviçre ve %5 ile Almanya izlemektedir.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rPr>
          <w:rFonts w:cs="Times New Roman"/>
          <w:sz w:val="24"/>
          <w:szCs w:val="24"/>
        </w:rPr>
      </w:pPr>
      <w:r w:rsidRPr="001F71B9">
        <w:rPr>
          <w:rFonts w:cs="Times New Roman"/>
          <w:sz w:val="24"/>
          <w:szCs w:val="24"/>
        </w:rPr>
        <w:t>Ülkenin başlıca ithalat maddelerine bakıldığı zaman, hububat (%56), tohum yağları (%26), şeker (%13) ve deniz ürünleri (%5) ilk dört sırayı almaktadır.</w:t>
      </w:r>
    </w:p>
    <w:p w:rsidR="00BF3486" w:rsidRPr="001F71B9" w:rsidRDefault="00BF3486" w:rsidP="00BF3486">
      <w:pPr>
        <w:spacing w:after="0" w:line="240" w:lineRule="auto"/>
        <w:rPr>
          <w:rFonts w:cs="Times New Roman"/>
          <w:sz w:val="24"/>
          <w:szCs w:val="24"/>
        </w:rPr>
      </w:pPr>
    </w:p>
    <w:p w:rsidR="00BE1168" w:rsidRPr="001F71B9" w:rsidRDefault="00BE1168" w:rsidP="00BF3486">
      <w:pPr>
        <w:spacing w:after="0" w:line="240" w:lineRule="auto"/>
        <w:jc w:val="both"/>
        <w:rPr>
          <w:sz w:val="24"/>
          <w:szCs w:val="24"/>
        </w:rPr>
      </w:pPr>
      <w:r w:rsidRPr="001F71B9">
        <w:rPr>
          <w:sz w:val="24"/>
          <w:szCs w:val="24"/>
        </w:rPr>
        <w:t xml:space="preserve">Tunus’ta 21 baraj bulunup yıllık su kapasitesi 4,5 milyon m³’tür. Tüm bunlarla birlikte, Tunus’taki tarım sektörü yapısal zayıflıklarla karşı karşıya bulunmaktadır. Yağış miktarındaki düşüş, toprak erozyonu ve kuraklaşma halen tarım sektörünü çok fazla etkilemektedir. Sulama için su kaynakları sınırlı olup çiftçiler yeni teçhizat veya teknik tedarik için kredi bulmakta zorlanmaktadır. Aynı zamanda işgücü yaşlı olup makineleşme seviyesi ve böcek ilacı kullanımı düşüktür. Ticari engeller de yerel gıda fiyatlarının yüksek olmasına neden olmaktadır. Gıda alanındaki sübvansiyonlar ve ihraç edilen ürünlerin fiyatının düşük olması tarım sektörünün yeterince verimli olamamasının başlıca nedenleri arasında yer almaktadır. </w:t>
      </w:r>
    </w:p>
    <w:p w:rsidR="00BF3486" w:rsidRDefault="00BF3486" w:rsidP="00BF3486">
      <w:pPr>
        <w:pStyle w:val="Heading2"/>
        <w:spacing w:before="0" w:line="240" w:lineRule="auto"/>
        <w:rPr>
          <w:rFonts w:asciiTheme="minorHAnsi" w:hAnsiTheme="minorHAnsi"/>
          <w:sz w:val="24"/>
          <w:szCs w:val="24"/>
        </w:rPr>
      </w:pPr>
      <w:bookmarkStart w:id="7" w:name="_Toc482353105"/>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Sanayi</w:t>
      </w:r>
      <w:bookmarkEnd w:id="7"/>
    </w:p>
    <w:p w:rsidR="00BE1168" w:rsidRDefault="00BE1168" w:rsidP="00BF3486">
      <w:pPr>
        <w:spacing w:after="0" w:line="240" w:lineRule="auto"/>
        <w:jc w:val="both"/>
        <w:rPr>
          <w:sz w:val="24"/>
          <w:szCs w:val="24"/>
        </w:rPr>
      </w:pPr>
      <w:r w:rsidRPr="001F71B9">
        <w:rPr>
          <w:sz w:val="24"/>
          <w:szCs w:val="24"/>
        </w:rPr>
        <w:t>Sanayi sektörü GSYİH’nın %29,6’sını oluşturmaktadır. En önemli sanayi ürünü fosfat ve fosfattan üretilen gübredir. Tunus yıllık 10 milyon tonluk üretimiyle dünyanın dördüncü büyük fosfat üreticisidir. Fosfat madenciliği ve sanayisi dışında makina-elektrik (27,3), tekstil-</w:t>
      </w:r>
      <w:proofErr w:type="gramStart"/>
      <w:r w:rsidRPr="001F71B9">
        <w:rPr>
          <w:sz w:val="24"/>
          <w:szCs w:val="24"/>
        </w:rPr>
        <w:t>konfeksiyon</w:t>
      </w:r>
      <w:proofErr w:type="gramEnd"/>
      <w:r w:rsidRPr="001F71B9">
        <w:rPr>
          <w:sz w:val="24"/>
          <w:szCs w:val="24"/>
        </w:rPr>
        <w:t xml:space="preserve"> ve deri (%19.1), gıda sanayi (%17,6), kimya sanayi (%13) ile seramik ve cam sanayi (%9,4) diğer önemli sektörlerdir.</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İmalat sanayii, çoğunlukla ihracata yönelik üretim yapmakta olup, Tunus’un ekonomik büyümesinin motoru konumundadır. 2011 yılında toplam ihracatın %70’ini imalat sanayii ürünleri oluşturmakta olup, ülkenin en önemli döviz sağlayıcısıdır.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İmalat sanayisinde öncelik verilen alanlardan biri de gıda ürünleri işlemesidir. Makarna, salça, margarin gibi ürünlerde ihraç edebilirlik seviyesinin geliştirilmesine önem verilmektedir. </w:t>
      </w:r>
    </w:p>
    <w:p w:rsidR="00BF3486" w:rsidRPr="001F71B9" w:rsidRDefault="00BF3486" w:rsidP="00BF3486">
      <w:pPr>
        <w:spacing w:after="0" w:line="240" w:lineRule="auto"/>
        <w:rPr>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Tunus'ta mekanik-elektrik parça imalatı, küçük sermayeler ve AB ülkeleri arasında ortak yatırım şeklinde gerçekleştirilmektedir. Bu sektörde özellikle otomotiv sektöründe kullanılan makas, motor, debriyaj, transformatör, akümülatör gibi parçalar üretilmektedir. Bu sektör </w:t>
      </w:r>
      <w:r w:rsidRPr="001F71B9">
        <w:rPr>
          <w:rFonts w:cs="Times New Roman"/>
          <w:sz w:val="24"/>
          <w:szCs w:val="24"/>
        </w:rPr>
        <w:lastRenderedPageBreak/>
        <w:t>1990’lardan itibaren hızlı bir gelişme göstermiştir. Dünyadaki toplam araç motoru, tel ve kablo üretiminin %1’i Tunus’da yapılmaktadır. İhracatın %90’ı başta Fransa ve Almanya olmak üzere Avrupa ülkelerine yapılmaktadır.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 </w:t>
      </w:r>
      <w:proofErr w:type="gramStart"/>
      <w:r w:rsidRPr="001F71B9">
        <w:rPr>
          <w:rFonts w:cs="Times New Roman"/>
          <w:sz w:val="24"/>
          <w:szCs w:val="24"/>
        </w:rPr>
        <w:t>konfeksiyon</w:t>
      </w:r>
      <w:proofErr w:type="gramEnd"/>
      <w:r w:rsidRPr="001F71B9">
        <w:rPr>
          <w:rFonts w:cs="Times New Roman"/>
          <w:sz w:val="24"/>
          <w:szCs w:val="24"/>
        </w:rPr>
        <w:t xml:space="preserve"> imalatında Avrupa için iyi bir tedarikçidir. Üretim maliyetindeki avantaj, Avrupa’ya yakınlık, vasıflı eleman teminindeki kolaylık, siyasi kararlılık, vergilerdeki avantajlar, düşük işçi maliyetleri nedeniyle bu sektörde yatırım yapılması avantajlıdır. 2009 yılında tekstil piyasası %7,6 oranında gerilemiştir. 2010 yılında pazar %3,3 daralmıştır fakat 2011 yılında pazarda  % 6,9’luk büyüme söz konusudur. 2009 yılında yaşanan ekonomik resesyonun hammadde fiyatlarını arttırması sonucunda ülke Çin pazarı ile rekabet edememiş, bu nedenle Tunus’un pazar payı azalmıştır. Tunus’da tekstil sektöründe faaliyet gösteren 2.976 firmanın %58’i ürünlerini dış pazara ihraç etmektedir. Tekstil sektörü, Tunus ihracatının %26,4’ünü oluşturmakta olup toplam tekstil ihracatının %92’si hazır giyimdir. Üretimin %92’si, Fransa başta olmak üzere, İtalya, Almanya, Belçika ve diğer AB ülkelerine gönderilmektedir. Tunus AB’nin 4. büyük tekstil tedarikçisidir. </w:t>
      </w:r>
    </w:p>
    <w:p w:rsidR="00BF3486" w:rsidRPr="001F71B9" w:rsidRDefault="00BF3486" w:rsidP="00BF3486">
      <w:pPr>
        <w:spacing w:after="0" w:line="240" w:lineRule="auto"/>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 xml:space="preserve">Kimya sanayii özellikle fosfatın işlenmesine, çimento, cam ve seramik yapımına dayanmaktadır. Kimya sanayisi büyük ölçüde ilaç ve daha sonra lastik sanayisindeki büyümeye bağlı olarak gelişme kaydetmiştir. Buna ek olarak, gübre, boya, deterjan, kozmetik sektörleri kimya sanayisinin başta gelen sektörleridir. Kimya sanayisinde devlet kuruluşları hâkim durumda olmakla beraber, özellikle boya ve tutkal üretiminde özel sektör de yer almaktadır. </w:t>
      </w:r>
    </w:p>
    <w:p w:rsidR="00BF3486" w:rsidRDefault="00BF3486" w:rsidP="00BF3486">
      <w:pPr>
        <w:pStyle w:val="Heading2"/>
        <w:spacing w:before="0" w:line="240" w:lineRule="auto"/>
        <w:rPr>
          <w:rFonts w:asciiTheme="minorHAnsi" w:hAnsiTheme="minorHAnsi"/>
          <w:sz w:val="24"/>
          <w:szCs w:val="24"/>
        </w:rPr>
      </w:pPr>
      <w:bookmarkStart w:id="8" w:name="_Toc482353106"/>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Madencilik</w:t>
      </w:r>
      <w:bookmarkEnd w:id="8"/>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 Hükümeti, madencilik sektöründe etkinlik ve verimlilik sağlamak amacıyla reform programları oluşturmuştur. Fosfat ve kurşun madenciliğinde kullanılan teknikler yenilenmiştir. Dünyanın en büyük ham fosfat üreticilerinden biri olan Tunus’ta fosfat madenciliği, bir kamu şirketi olan CPG’nin tekelinde olup, ülkenin güneybatısındaki Gafsa’da çıkarılmaktadır.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Kimya sanayisinin temelini oluşturan fosfatın yanı sıra çıkarılan diğer mineraller demir, kurşun ve çinkodur. Büyük bir kısmı El Foudladh çelik işlerini desteklemekte kullanılan demir üretimi, ana Jerissa madenindeki rezervlerin azalması nedeniyle 1993 yılından itibaren düşmeye başlamıştır. Çinko üretimi de, Boujdeur madenindeki rezervlerin tükenmesi ve madenin kapanmasıyla birlikte 2004 ve 2005 yıllarında keskin bir düşüş yaşamıştır.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Kanıtlanmış petrol rezervleri yaklaşık 425 milyon varil, doğal gaz rezervi ise 65 milyar m³ ve olup Tunus’un gaz rezervlerinin 2/3’ü offshore’dur. Tunus’un gaz rezervi, komşuları olan Libya ve Cezayir’e kıyasla çok azdır. Söz konusu rezervin büyük bölümü offshore olup, ülkenin en büyük doğalgaz sahası olan Miskar, British gas (BG) tarafından işletilmektedir. Ülkenin doğalgaz üretiminin %80’i bu saha tarafından karşılanmaktadır. Yıllık üretim 2,97 milyar m³’tür. 1 Ocak 2012 tarihi itibariyle Tunus Afrika’nın 11. en büyük doğalgaz üreticisi konumuna gelmiştir. </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Tunus’un petrol üretiminin yaklaşık %76’sı güney ve doğu bölgelerinden (El Borma, Ashtart, Sidi el Kilani, Ouedna, Adam ve Didon) sağlanmaktadır. Petrol üretimi Tunus’un petrol ihtiyacının sadece %46’sını karşılamaktadır.</w:t>
      </w: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lastRenderedPageBreak/>
        <w:t xml:space="preserve">Tunus’un en büyük petrol sahası Cezayir sınırında yer alan ve ENI-AGIP ortaklığı tarafından işletilen El Borma’dır. 100 milyon varillik tahmini rezerve sahip ve kamuya ait ETAP tarafından işletilen Ashtart ise ülkenin ikinci büyük sahasıdır. Ülke üretiminin %75’i bu iki sahadan karşılanmakta olup daha yeni orta büyüklükte sahalar arasında Sidi Cilani, Adam, Didon, Cercina ve Franing yer almaktadır. </w:t>
      </w:r>
    </w:p>
    <w:p w:rsidR="00BF3486" w:rsidRDefault="00BF3486" w:rsidP="00BF3486">
      <w:pPr>
        <w:pStyle w:val="Heading2"/>
        <w:spacing w:before="0" w:line="240" w:lineRule="auto"/>
        <w:rPr>
          <w:rFonts w:asciiTheme="minorHAnsi" w:hAnsiTheme="minorHAnsi"/>
          <w:sz w:val="24"/>
          <w:szCs w:val="24"/>
        </w:rPr>
      </w:pPr>
      <w:bookmarkStart w:id="9" w:name="_Toc482353107"/>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Elektrik</w:t>
      </w:r>
      <w:bookmarkEnd w:id="9"/>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 xml:space="preserve">Ülke, 136.000 km’lik elektrik ağına sahiptir. Elektriğinin %72’si ulusal elektrik şirketi ‘Société Tunisienne d’Eléctricité et du Gaz’ (STEG) tarafından temin edilmektedir. 2002’de hizmete giren ve özel enerji şirketi olan Rades 2 ise, Tunus’un elektrik ihtiyacının %22’sini sağlamaktadır. </w:t>
      </w:r>
    </w:p>
    <w:p w:rsidR="00BF3486" w:rsidRPr="001F71B9" w:rsidRDefault="00BF3486" w:rsidP="00BF3486">
      <w:pPr>
        <w:spacing w:after="0" w:line="240" w:lineRule="auto"/>
        <w:jc w:val="both"/>
        <w:rPr>
          <w:rFonts w:cs="Times New Roman"/>
          <w:color w:val="000000"/>
          <w:sz w:val="24"/>
          <w:szCs w:val="24"/>
        </w:rPr>
      </w:pPr>
    </w:p>
    <w:p w:rsidR="00BE1168" w:rsidRPr="001F71B9"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2005’de batıda Feriana’da 118 mw kapasiteli ve başkent Tunus’un bir banliyösü olan la Goulette’de 123 mw kapasiteli yeni elektrik santralleri kurulmuştur. İngiltere’nin BG Group şirketi 600 milyon dolar değerinde 500 mw’lık bir santrali Sfaks yakınlarındaki Barca’da kurmaktadır. Tunus ve İtalyan hükümetleri Cap Bon’da 1200 mw kapasiteli yeni bir elektrik santrali kurmayı düşünmektedirler. Buradaki üretimin %70’i denizaltı kablolarıyla İtalya’ya nakledilecektir. Söz konusu santral toplamda 2,5 milyar Euro’ya mal olacaktır.</w:t>
      </w:r>
    </w:p>
    <w:p w:rsidR="00BF3486" w:rsidRDefault="00BF3486" w:rsidP="00BF3486">
      <w:pPr>
        <w:pStyle w:val="Heading2"/>
        <w:spacing w:before="0" w:line="240" w:lineRule="auto"/>
        <w:rPr>
          <w:rFonts w:asciiTheme="minorHAnsi" w:hAnsiTheme="minorHAnsi"/>
          <w:sz w:val="24"/>
          <w:szCs w:val="24"/>
        </w:rPr>
      </w:pPr>
      <w:bookmarkStart w:id="10" w:name="_Toc482353108"/>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Turizm</w:t>
      </w:r>
      <w:bookmarkEnd w:id="10"/>
    </w:p>
    <w:p w:rsidR="00BE1168" w:rsidRDefault="00BE1168" w:rsidP="00BF3486">
      <w:pPr>
        <w:spacing w:after="0" w:line="240" w:lineRule="auto"/>
        <w:jc w:val="both"/>
        <w:rPr>
          <w:sz w:val="24"/>
          <w:szCs w:val="24"/>
        </w:rPr>
      </w:pPr>
      <w:r w:rsidRPr="001F71B9">
        <w:rPr>
          <w:sz w:val="24"/>
          <w:szCs w:val="24"/>
        </w:rPr>
        <w:t>Turizm</w:t>
      </w:r>
      <w:r w:rsidRPr="001F71B9">
        <w:rPr>
          <w:b/>
          <w:sz w:val="24"/>
          <w:szCs w:val="24"/>
        </w:rPr>
        <w:t xml:space="preserve"> </w:t>
      </w:r>
      <w:r w:rsidRPr="001F71B9">
        <w:rPr>
          <w:sz w:val="24"/>
          <w:szCs w:val="24"/>
        </w:rPr>
        <w:t>Tunus</w:t>
      </w:r>
      <w:r w:rsidRPr="001F71B9">
        <w:rPr>
          <w:b/>
          <w:sz w:val="24"/>
          <w:szCs w:val="24"/>
        </w:rPr>
        <w:t xml:space="preserve"> </w:t>
      </w:r>
      <w:r w:rsidRPr="001F71B9">
        <w:rPr>
          <w:sz w:val="24"/>
          <w:szCs w:val="24"/>
        </w:rPr>
        <w:t xml:space="preserve">ekonomisi içerisinde en önemli sektörlerden birisini oluşturmaktadır. İmalat sanayiinden sonra en fazla döviz getiren sektördür. GSYIH’nin içindeki payı %7’dir. Ülkede yaklaşık 400.000 kişi ( Toplam istihdamın yaklaşık %15’i) geçimini bu sektörden kazanmaktadır.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2012 yılında Tunus’u 6,9 milyon kişi ziyaret etmiş ve ülkenin turizm gelirleri 2011 yılına göre %30 artış göstermekle birlikte devrim öncesi dönemin %10 gerisinde kalmış ve 3,1 milyar TD (1,8 milyar dolar) olarak gerçekleşmiştir.  Ziyaretçilerin %70’den fazlası Batı Avrupa ülkelerinden gelmektedir.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2013 yılı verilerine bakıldığı zaman, Tunus Turizm Departmanından alınan bilgiye göre 1 Ocak- 20 Haziran tarihleri arasında bir önceki yılın aynı dönemine göre turist sayısı %3,4 artış göstererek 2,4 milyon olmuştur.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 hükümeti ülkeye gelen turist sayısını 2016 yılına kadar 10 milyon turist sayısına yükseltmeyi amaçlamaktadır. Bu doğrultuda termal turizmin yanında güneş tedavileri, golf, çöl ve gemi turizmi gibi alterNatif alanlarda sektör çeşitlendirilmeye çalışılmaktadır.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Ayrıca Tunus son yıllarda özellikle sağlık ve termal turizmini geliştirmeyi amaçlamaktadır. Devlet bütçesinden turizm sektöründeki yatırımlara 65,7 milyar dolar ayrılmıştır. Turizm sayesinde el sanatları sektörünün de gelirleri artmış, çalışan nüfusun %10’una tekabül eden 300.000 kişinin çalıştığı el sanatları sektörünün gelirleri yaklaşık 150 milyon dolar olmuştur. El sanatları sektörü toplam ihracatın % 4’ünü oluşturmaktadır.</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Tunus’un sınır komşuları Magreb Ülkelerinin de Tunus’a olan ilgisi artmıştır. Libya ve Fas başta gelmektedir.</w:t>
      </w:r>
    </w:p>
    <w:p w:rsidR="00BE1168" w:rsidRPr="001F71B9" w:rsidRDefault="00BE1168" w:rsidP="00BF3486">
      <w:pPr>
        <w:pStyle w:val="Heading2"/>
        <w:spacing w:before="0" w:line="240" w:lineRule="auto"/>
        <w:rPr>
          <w:rFonts w:asciiTheme="minorHAnsi" w:hAnsiTheme="minorHAnsi"/>
          <w:sz w:val="24"/>
          <w:szCs w:val="24"/>
        </w:rPr>
      </w:pPr>
      <w:bookmarkStart w:id="11" w:name="_Toc482353109"/>
      <w:r w:rsidRPr="001F71B9">
        <w:rPr>
          <w:rFonts w:asciiTheme="minorHAnsi" w:hAnsiTheme="minorHAnsi"/>
          <w:sz w:val="24"/>
          <w:szCs w:val="24"/>
        </w:rPr>
        <w:lastRenderedPageBreak/>
        <w:t>Altyapı</w:t>
      </w:r>
      <w:bookmarkEnd w:id="11"/>
    </w:p>
    <w:p w:rsidR="00BE1168" w:rsidRDefault="00BE1168" w:rsidP="00BF3486">
      <w:pPr>
        <w:spacing w:after="0" w:line="240" w:lineRule="auto"/>
        <w:jc w:val="both"/>
        <w:rPr>
          <w:rFonts w:cs="Times New Roman"/>
          <w:sz w:val="24"/>
          <w:szCs w:val="24"/>
        </w:rPr>
      </w:pPr>
      <w:r w:rsidRPr="001F71B9">
        <w:rPr>
          <w:rFonts w:cs="Times New Roman"/>
          <w:sz w:val="24"/>
          <w:szCs w:val="24"/>
        </w:rPr>
        <w:t>Oldukça gelişmiş bir altyapıya sahip Tunus’ta yedi ticari liman, Skhira’da bir petrol terminali ve 23 küçük liman ve 7 uluslararası havaalanı faaliyet göstermektedir. 31.000 km’lik yol ağına sahip Tunus’ta başkent Tunus ve Doğu kıyısında yer alan Sousse şehrini bağlayan dört şeritli bir paralı otoyol bulunmaktadır. Tunus ve Libya, Sfax ile Trablus arasında 533 km’lik bir otoyol yapmayı planlamaktadır.</w:t>
      </w:r>
    </w:p>
    <w:p w:rsidR="00BF3486" w:rsidRPr="001F71B9" w:rsidRDefault="00BF3486" w:rsidP="00BF3486">
      <w:pPr>
        <w:spacing w:after="0" w:line="240" w:lineRule="auto"/>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Tunus, ulaşım ve iletişim altyapısını daha modern hale getirmek istemektedir. Bu doğrultuda devlet daha az müdahaleci bir tutum sergileyerek özelleştirmeye yönelmiştir. Ulaşım ve iletişim alanındaki yatırımlar, hükümetin 9. (1997-2001) ve 10. (2002-6) kalkınma planları doğrultusunda gözle görülür bir biçimde artmıştır. Hükümet bu yatırımların daha çok özel sektör tarafından yapılmasını istemektedir. Hükümetin 11. Kalkınma Planı çerçevesinde ulaşım ve iletişim yatırımlarına 5,8 milyar dolar ayrılmıştır.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Tunus’un 9 adet uluslararası havalimanı bulunmakta olup, en büyük havaalanı Carthage Havalimanıdır. Ayrıca, Teknoloji ve Ulaştırma Bakanlığı’nın, Tunus’un 60 km güneyinde yer alan Enfidha ve Monastir havaalanlarının inşaası ve işletmesi için açtığı ihaleyi Tepe Akfen (TAV) Holding kazanmıştır. Bu kapsamda yılda 30 milyon yolcu kapasiteli 400 milyon Euro’luk Enfidha Havaalanının inşası TAV Holding tarafından gerçekleştirilmiş olup, 40 yıl süreyle de TAV tarafından işletilecektir. TAV Holding ayrıca Monastir havaalanının işletmesini de 40 yıl süreyle üstlenmiştir.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rPr>
          <w:rFonts w:cs="Times New Roman"/>
          <w:sz w:val="24"/>
          <w:szCs w:val="24"/>
        </w:rPr>
      </w:pPr>
      <w:r w:rsidRPr="001F71B9">
        <w:rPr>
          <w:rFonts w:cs="Times New Roman"/>
          <w:sz w:val="24"/>
          <w:szCs w:val="24"/>
        </w:rPr>
        <w:t xml:space="preserve">Tunus’un toplam 2,167 km’lik demiryolu ağı mevcuttur. </w:t>
      </w:r>
    </w:p>
    <w:p w:rsidR="00BF3486" w:rsidRPr="001F71B9" w:rsidRDefault="00BF3486" w:rsidP="00BF3486">
      <w:pPr>
        <w:spacing w:after="0" w:line="240" w:lineRule="auto"/>
        <w:rPr>
          <w:rFonts w:cs="Times New Roman"/>
          <w:sz w:val="24"/>
          <w:szCs w:val="24"/>
        </w:rPr>
      </w:pPr>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 xml:space="preserve">Tunus, 2006 Aralık ayında Fransa’yla tuzdan arındırma, enerji üretme ve bilimsel araştırmalar gibi alanlarda nükleer enerjinin kullanımını arttırmak için </w:t>
      </w:r>
      <w:r w:rsidR="00BF3486" w:rsidRPr="001F71B9">
        <w:rPr>
          <w:rFonts w:cs="Times New Roman"/>
          <w:color w:val="000000"/>
          <w:sz w:val="24"/>
          <w:szCs w:val="24"/>
        </w:rPr>
        <w:t>anlaşma imzalamıştır</w:t>
      </w:r>
      <w:r w:rsidRPr="001F71B9">
        <w:rPr>
          <w:rFonts w:cs="Times New Roman"/>
          <w:color w:val="000000"/>
          <w:sz w:val="24"/>
          <w:szCs w:val="24"/>
        </w:rPr>
        <w:t>. Tunus nükleer gücü enerjide bağımsızlığını kazanmak, petrol ve gaz ithalatını mümkün olduğunca kısmak için bir araç olarak görmektedir. ‘’Societe Tunisiene d’electricite et du gaz’’ (STEG) ilk nükleer enerji fabrikasının 2020’de açılacağını açıklamıştır.</w:t>
      </w:r>
    </w:p>
    <w:p w:rsidR="00BF3486" w:rsidRPr="001F71B9" w:rsidRDefault="00BF3486" w:rsidP="00BF3486">
      <w:pPr>
        <w:spacing w:after="0" w:line="240" w:lineRule="auto"/>
        <w:jc w:val="both"/>
        <w:rPr>
          <w:rFonts w:cs="Times New Roman"/>
          <w:color w:val="000000"/>
          <w:sz w:val="24"/>
          <w:szCs w:val="24"/>
        </w:rPr>
      </w:pPr>
    </w:p>
    <w:p w:rsidR="00BE1168" w:rsidRPr="001F71B9" w:rsidRDefault="00BE1168" w:rsidP="00BF3486">
      <w:pPr>
        <w:spacing w:after="0" w:line="240" w:lineRule="auto"/>
        <w:jc w:val="both"/>
        <w:rPr>
          <w:rFonts w:cs="Times New Roman"/>
          <w:color w:val="000000"/>
          <w:sz w:val="24"/>
          <w:szCs w:val="24"/>
        </w:rPr>
      </w:pPr>
      <w:proofErr w:type="gramStart"/>
      <w:r w:rsidRPr="001F71B9">
        <w:rPr>
          <w:rFonts w:cs="Times New Roman"/>
          <w:color w:val="000000"/>
          <w:sz w:val="24"/>
          <w:szCs w:val="24"/>
        </w:rPr>
        <w:t>Ülkede mevcut büyük yatırım projelerinden bazıları şunlardır: Ama Dubai Yüzyılın Şehri Projesi, Rades-La Goulette Köprüsü, Bukhatir Group Tunis Spor Şehri Projesi, Al Maabar, Bled El Ward veya Rüya Şehir Ariana Projesi, Tunis Finansman Limanı Projesi, Kültür Şehri Projesi, Küçük Sicilya Projesi, Abu Dhabi Investment House Porta Moda Projesi, Taparura Projesi.</w:t>
      </w:r>
      <w:proofErr w:type="gramEnd"/>
    </w:p>
    <w:p w:rsidR="00BF3486" w:rsidRDefault="00BF3486" w:rsidP="00BF3486">
      <w:pPr>
        <w:pStyle w:val="Heading2"/>
        <w:spacing w:before="0" w:line="240" w:lineRule="auto"/>
        <w:rPr>
          <w:rFonts w:asciiTheme="minorHAnsi" w:hAnsiTheme="minorHAnsi"/>
          <w:sz w:val="24"/>
          <w:szCs w:val="24"/>
        </w:rPr>
      </w:pPr>
      <w:bookmarkStart w:id="12" w:name="_Toc482353110"/>
    </w:p>
    <w:p w:rsidR="00BE1168" w:rsidRPr="001F71B9" w:rsidRDefault="00BE1168" w:rsidP="00BF3486">
      <w:pPr>
        <w:pStyle w:val="Heading2"/>
        <w:spacing w:before="0" w:line="240" w:lineRule="auto"/>
        <w:rPr>
          <w:rFonts w:asciiTheme="minorHAnsi" w:hAnsiTheme="minorHAnsi"/>
          <w:sz w:val="24"/>
          <w:szCs w:val="24"/>
        </w:rPr>
      </w:pPr>
      <w:r w:rsidRPr="001F71B9">
        <w:rPr>
          <w:rFonts w:asciiTheme="minorHAnsi" w:hAnsiTheme="minorHAnsi"/>
          <w:sz w:val="24"/>
          <w:szCs w:val="24"/>
        </w:rPr>
        <w:t>Müteahhitlik Hizmetleri</w:t>
      </w:r>
      <w:bookmarkEnd w:id="12"/>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Tunus müteahhitlik ve inşaat sektörü Ekipman, İskan ve Arazi Planlama Bakanlığı’nın idaresi altındadır. Bakanlık, lojman inşası, alt yapı çalışmaları ve kamu binalarının inşası gibi faaliyetleri yönetmektedir. Tunus ekonomisinde tekstil, gıda sanayi ve tarımdan sonra dördüncü sırada inşaat sektörü almaktadır.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Nüfusun % 80’inin kendi evinde oturduğu ve 2005 yılında yürürlüğe giren yabancıların ekonomik ve turistik amaçlı belirlenen bölgelerde mülk edinmelerinin kolaylaştırılmasına ilişkin yasa dikkate alındığında, gayrimenkul inşaatında son 10 yılda görülen yıllık ortalama % 3 oranındaki artışın, önümüzdeki yıllarda da devam etmesi beklenmektedir.</w:t>
      </w:r>
    </w:p>
    <w:p w:rsidR="00BF3486" w:rsidRPr="001F71B9" w:rsidRDefault="00BF3486" w:rsidP="00BF3486">
      <w:pPr>
        <w:spacing w:after="0" w:line="240" w:lineRule="auto"/>
        <w:jc w:val="both"/>
        <w:rPr>
          <w:rFonts w:cs="Times New Roman"/>
          <w:color w:val="000000"/>
          <w:sz w:val="24"/>
          <w:szCs w:val="24"/>
        </w:rPr>
      </w:pPr>
    </w:p>
    <w:p w:rsidR="00BE1168" w:rsidRPr="001F71B9"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lastRenderedPageBreak/>
        <w:t xml:space="preserve">Tunus yabancı şirketlere finansmanı uluslararası kuruluşlar tarafından yapılan çok büyük projeler ya da aşağıda belirtilen alanlarda çalışma </w:t>
      </w:r>
      <w:proofErr w:type="gramStart"/>
      <w:r w:rsidRPr="001F71B9">
        <w:rPr>
          <w:rFonts w:cs="Times New Roman"/>
          <w:color w:val="000000"/>
          <w:sz w:val="24"/>
          <w:szCs w:val="24"/>
        </w:rPr>
        <w:t>imkanı</w:t>
      </w:r>
      <w:proofErr w:type="gramEnd"/>
      <w:r w:rsidRPr="001F71B9">
        <w:rPr>
          <w:rFonts w:cs="Times New Roman"/>
          <w:color w:val="000000"/>
          <w:sz w:val="24"/>
          <w:szCs w:val="24"/>
        </w:rPr>
        <w:t xml:space="preserve"> sağlamaktadır. </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Jeolojik etüdler</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Topoğrafik etüdler</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Çevre ile ilgili etüdler</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Deniz içerisinde gerçekleştirilen etüdler</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Fizibilite çalışmaları</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Mühendislik çalışmaları</w:t>
      </w:r>
    </w:p>
    <w:p w:rsidR="00BE1168" w:rsidRPr="001F71B9" w:rsidRDefault="00BE1168" w:rsidP="00BF3486">
      <w:pPr>
        <w:pStyle w:val="ListParagraph"/>
        <w:numPr>
          <w:ilvl w:val="0"/>
          <w:numId w:val="9"/>
        </w:numPr>
        <w:spacing w:after="0" w:line="240" w:lineRule="auto"/>
        <w:rPr>
          <w:rFonts w:asciiTheme="minorHAnsi" w:hAnsiTheme="minorHAnsi"/>
          <w:sz w:val="24"/>
          <w:szCs w:val="24"/>
        </w:rPr>
      </w:pPr>
      <w:r w:rsidRPr="001F71B9">
        <w:rPr>
          <w:rFonts w:asciiTheme="minorHAnsi" w:hAnsiTheme="minorHAnsi"/>
          <w:sz w:val="24"/>
          <w:szCs w:val="24"/>
        </w:rPr>
        <w:t>Liman ve havalimanı inşa çalışmaları.</w:t>
      </w:r>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 xml:space="preserve">Tunus, mali ve finans piyasalarındaki istikrar, dinamik bankacılık sistemi sayesinde, kısa bir dönemde önemli bir finans merkezi haline gelmiştir. Bağımsız araştırma kuruluşlarının raporlarına göre Tunus, Kuzey Afrika’nın en önemli finans merkezi olarak kabul edilirken, Arap ülkeleri arasında ise en büyüklerinden birisi konumundadır. Ülkede bankacılık sistemi Tunus Merkez Bankasının kontrolü ve denetimi altındadır. Tunus’ta 20 mevduat bankası ve 14 mali kuruluş bulunmaktadır. Mali kuruluşların 2 tanesi ticari banka, 10 tanesi leasing ve 2 tanesi de factoring şirketidir. 11 adet de yabancı bankaları temsil eden ajanslar ile 8 </w:t>
      </w:r>
      <w:proofErr w:type="spellStart"/>
      <w:r w:rsidRPr="001F71B9">
        <w:rPr>
          <w:rFonts w:cs="Times New Roman"/>
          <w:color w:val="000000"/>
          <w:sz w:val="24"/>
          <w:szCs w:val="24"/>
        </w:rPr>
        <w:t>off-shore</w:t>
      </w:r>
      <w:proofErr w:type="spellEnd"/>
      <w:r w:rsidRPr="001F71B9">
        <w:rPr>
          <w:rFonts w:cs="Times New Roman"/>
          <w:color w:val="000000"/>
          <w:sz w:val="24"/>
          <w:szCs w:val="24"/>
        </w:rPr>
        <w:t xml:space="preserve"> banka faaliyet göstermektedir.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Büyük inşaat projeleri için Dünya Bankası, Avrupa Yatırım Bankası, Afrika Kalkınma Bankası gibi kuruluşlardan finansman yardımı almaktadır. Elektrik üretiminin özelleştirilmesinin ardından, hükümet havalimanı, liman ve su işleri ile ilgili inşa projelerini de özelleştirme yolunda büyük adımlar atmıştır. Tunus, Afrika Kalkınma Bankası’nın inşaat sektörü ile ilgili verdiği kredilerin % 15’lik kısmını kullanmaktadır. Tunus’ta birçok büyük yatırım projesi bulunmaktadır. Bunlar içinde en önemlileri aşağıda sunulmaktadır.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Style w:val="Heading4Char"/>
          <w:rFonts w:asciiTheme="minorHAnsi" w:hAnsiTheme="minorHAnsi"/>
          <w:sz w:val="24"/>
          <w:szCs w:val="24"/>
        </w:rPr>
        <w:t>TAV Holding, Enfidha Uluslararası Havaalanı:</w:t>
      </w:r>
      <w:r w:rsidRPr="001F71B9">
        <w:rPr>
          <w:rFonts w:cs="Times New Roman"/>
          <w:color w:val="000000"/>
          <w:sz w:val="24"/>
          <w:szCs w:val="24"/>
        </w:rPr>
        <w:t xml:space="preserve"> Yıllık 30 milyon yolcu kapasiteli Enfidha Uluslararası Havaalanı Projesi, TAV Holding tarafından inşa edilmekte olup bilahare 40 yıl süreyle yine TAV Holding tarafından işletilecektir. Toplam 400 milyon Euroluk Enfidha Havaalanı, Tunis Carthage havaalanındaki yoğun trafiği azaltacak ayrıca, Tunus ticaretine büyük katkı sağlayacaktır. Yaklaşık 6.000 hektarlık geniş bir araziye sahip olan havaalanı projesi dört faz olarak planlanmıştır.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Style w:val="Heading4Char"/>
          <w:rFonts w:asciiTheme="minorHAnsi" w:hAnsiTheme="minorHAnsi"/>
          <w:sz w:val="24"/>
          <w:szCs w:val="24"/>
        </w:rPr>
        <w:t>Sama Dubai, Yüzyılın Şehri Projesi:</w:t>
      </w:r>
      <w:r w:rsidRPr="001F71B9">
        <w:rPr>
          <w:rFonts w:cs="Times New Roman"/>
          <w:color w:val="000000"/>
          <w:sz w:val="24"/>
          <w:szCs w:val="24"/>
        </w:rPr>
        <w:t xml:space="preserve"> Sama Dubai Holdingin yapmış olduğu 25 milyar dolarlık Yüzyılın Şehri veya Akdenizin Kapısı isimli projedir. Bu mega proje 830 hektarlık bir alan üzerinde bulunmaktadır. 15 yılda tamamlanacak olan bu proje yerleşim alanı, lüks oteller, çok amaçlı binalar, 100 katlı gökdelen ve birçok kule, yat limanı, kültür ve eğlence merkezleri ve turistik tesislerden oluşmaktadır. Ağustos 2007’de anlaşmaya varılan bu proje, ekonomik büyümeye % 0,5’lik ek katkı sağlayacak ayrıca, 300,000 kişiye istihdam imkanı yaratacaktır. 15 yılda tamamlanması planlanan bu proje çeşitli etaplar halinde tamamlanacaktır. Projenin 14 milyar dolarlık kısmı Sama Dubai tarafından, geri kalan kısım ise diğer ekonomik kuruluşlarca finanse edilecektir. Ancak, finansman </w:t>
      </w:r>
      <w:proofErr w:type="gramStart"/>
      <w:r w:rsidRPr="001F71B9">
        <w:rPr>
          <w:rFonts w:cs="Times New Roman"/>
          <w:color w:val="000000"/>
          <w:sz w:val="24"/>
          <w:szCs w:val="24"/>
        </w:rPr>
        <w:t>imkanı</w:t>
      </w:r>
      <w:proofErr w:type="gramEnd"/>
      <w:r w:rsidRPr="001F71B9">
        <w:rPr>
          <w:rFonts w:cs="Times New Roman"/>
          <w:color w:val="000000"/>
          <w:sz w:val="24"/>
          <w:szCs w:val="24"/>
        </w:rPr>
        <w:t xml:space="preserve"> bulunamaması nedeniyle proje fiilen başlatılamamıştır.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Style w:val="Heading4Char"/>
          <w:rFonts w:asciiTheme="minorHAnsi" w:hAnsiTheme="minorHAnsi"/>
          <w:sz w:val="24"/>
          <w:szCs w:val="24"/>
        </w:rPr>
        <w:t>Rades-La Goulette Köprüsü:</w:t>
      </w:r>
      <w:r w:rsidRPr="001F71B9">
        <w:rPr>
          <w:rFonts w:cs="Times New Roman"/>
          <w:color w:val="000000"/>
          <w:sz w:val="24"/>
          <w:szCs w:val="24"/>
        </w:rPr>
        <w:t xml:space="preserve"> Tunus ve Japon ortaklığıyla yapılmakta olan köprü projesinin maliyeti 112 milyon dolardır. İnşasına Ağustos 2004’de başlanmış olup, uzunluğu 14,65 kmdir. Köprü başkent Tunus’un kuzey ve güney banliyösünü bağlamaktadır. Söz konusu </w:t>
      </w:r>
      <w:r w:rsidRPr="001F71B9">
        <w:rPr>
          <w:rFonts w:cs="Times New Roman"/>
          <w:color w:val="000000"/>
          <w:sz w:val="24"/>
          <w:szCs w:val="24"/>
        </w:rPr>
        <w:lastRenderedPageBreak/>
        <w:t>projenin köprü kazıklarının çakılmasına ilişkin kısmı 2004 yılında STFA tarafından gerçekleştirilmiştir. 21 Mart 2009 tarihinde resmi bir tören ile açılmıştır.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Style w:val="Heading4Char"/>
          <w:rFonts w:asciiTheme="minorHAnsi" w:hAnsiTheme="minorHAnsi"/>
          <w:sz w:val="24"/>
          <w:szCs w:val="24"/>
        </w:rPr>
        <w:t>Bukhatir Group, Tunis Spor Şehri:</w:t>
      </w:r>
      <w:r w:rsidRPr="001F71B9">
        <w:rPr>
          <w:rFonts w:cs="Times New Roman"/>
          <w:color w:val="000000"/>
          <w:sz w:val="24"/>
          <w:szCs w:val="24"/>
        </w:rPr>
        <w:t xml:space="preserve"> Tunis Spor Şehri Projesi Mayıs 2008’de başlamış olup Tunus BAE ortak yatırımıdır. Toplam 5 milyar dolarlık proje ile 255 hektarlık alanda golf sahası, futbol, voleybol, basketbol, hendbol, tenis, yüzme, atletizm ve diğer spor dallarını içeren 9 spor akademisi, 36 hektarlık alan içerisinde 10.000 seyircilik futbol stadyumu ile 5.000 seyircilik spor salonu, olimpik yüzme havuzu inşaası öngörülmektedir. Projenin bir diğer kısmı ise yerleşim alanı, dinlenme tesisleri, lüks oteller, kuleler, villalar ve alışveriş merkezleri ile poliklinikleri kapsamaktadır.</w:t>
      </w:r>
    </w:p>
    <w:p w:rsidR="00BF3486" w:rsidRPr="001F71B9" w:rsidRDefault="00BF3486" w:rsidP="00BF3486">
      <w:pPr>
        <w:spacing w:after="0" w:line="240" w:lineRule="auto"/>
        <w:jc w:val="both"/>
        <w:rPr>
          <w:rFonts w:cs="Times New Roman"/>
          <w:color w:val="000000"/>
          <w:sz w:val="24"/>
          <w:szCs w:val="24"/>
        </w:rPr>
      </w:pPr>
    </w:p>
    <w:p w:rsidR="00BE1168" w:rsidRDefault="00BE1168" w:rsidP="00BF3486">
      <w:pPr>
        <w:spacing w:after="0" w:line="240" w:lineRule="auto"/>
        <w:jc w:val="both"/>
        <w:rPr>
          <w:rFonts w:cs="Times New Roman"/>
          <w:color w:val="000000"/>
          <w:sz w:val="24"/>
          <w:szCs w:val="24"/>
        </w:rPr>
      </w:pPr>
      <w:r w:rsidRPr="001F71B9">
        <w:rPr>
          <w:rStyle w:val="Heading4Char"/>
          <w:rFonts w:asciiTheme="minorHAnsi" w:hAnsiTheme="minorHAnsi"/>
          <w:sz w:val="24"/>
          <w:szCs w:val="24"/>
        </w:rPr>
        <w:t>Taparura Projesi:</w:t>
      </w:r>
      <w:r w:rsidRPr="001F71B9">
        <w:rPr>
          <w:rFonts w:cs="Times New Roman"/>
          <w:color w:val="000000"/>
          <w:sz w:val="24"/>
          <w:szCs w:val="24"/>
        </w:rPr>
        <w:t xml:space="preserve"> Tunus’un en önemli projelerinden biridir. Çeşitli sanayiler nedeniyle kirletilen Sfax şehrinin kuzey sahilinin temizlenmesi ve rehabilite edilmesi projesidir. Projenin 1. aşaması Nisan 2006’da başlamıştır. Avrupa Kalkınma Bankası tarafından finanse edilen yaklaşık 100 milyon dolarlık bir projedir. Projenin 260 hektarlık kısmı ıslah edilmiş olup, bu bölüm 3 km.lik sahil ile dinlenme tesisleri ile yeni turizm projelerine ulaşacak bir sahil yolu oluşturulmasına yardımcı olacaktır.</w:t>
      </w:r>
    </w:p>
    <w:p w:rsidR="00BF3486" w:rsidRPr="001F71B9" w:rsidRDefault="00BF3486" w:rsidP="00BF3486">
      <w:pPr>
        <w:spacing w:after="0" w:line="240" w:lineRule="auto"/>
        <w:jc w:val="both"/>
        <w:rPr>
          <w:rFonts w:cs="Times New Roman"/>
          <w:color w:val="000000"/>
          <w:sz w:val="24"/>
          <w:szCs w:val="24"/>
        </w:rPr>
      </w:pPr>
    </w:p>
    <w:p w:rsidR="00BE1168" w:rsidRPr="001F71B9" w:rsidRDefault="00BE1168" w:rsidP="00BF3486">
      <w:pPr>
        <w:pStyle w:val="Heading2"/>
        <w:spacing w:before="0" w:line="240" w:lineRule="auto"/>
        <w:rPr>
          <w:rFonts w:asciiTheme="minorHAnsi" w:hAnsiTheme="minorHAnsi"/>
          <w:sz w:val="24"/>
          <w:szCs w:val="24"/>
        </w:rPr>
      </w:pPr>
      <w:bookmarkStart w:id="13" w:name="_Toc482353111"/>
      <w:r w:rsidRPr="001F71B9">
        <w:rPr>
          <w:rFonts w:asciiTheme="minorHAnsi" w:hAnsiTheme="minorHAnsi"/>
          <w:sz w:val="24"/>
          <w:szCs w:val="24"/>
        </w:rPr>
        <w:t>Enerji</w:t>
      </w:r>
      <w:bookmarkEnd w:id="13"/>
    </w:p>
    <w:p w:rsidR="00BE1168" w:rsidRPr="001F71B9" w:rsidRDefault="00BE1168" w:rsidP="00BF3486">
      <w:pPr>
        <w:spacing w:after="0" w:line="240" w:lineRule="auto"/>
        <w:jc w:val="both"/>
        <w:rPr>
          <w:rFonts w:cs="Times New Roman"/>
          <w:color w:val="000000"/>
          <w:sz w:val="24"/>
          <w:szCs w:val="24"/>
        </w:rPr>
      </w:pPr>
      <w:r w:rsidRPr="001F71B9">
        <w:rPr>
          <w:rFonts w:cs="Times New Roman"/>
          <w:color w:val="000000"/>
          <w:sz w:val="24"/>
          <w:szCs w:val="24"/>
        </w:rPr>
        <w:t>Enerji alanında da yatırımlar yapılmakta olup, özellikle İtalyanlarla yürütülen ve 2014’de tamamlanacak olan El Haouria projesi 1200MW elektrik üretmeyi planlamaktadır. Bunun 800 MW’nın denizaltı kablolarla Sicilya’ya ihracatı, 400 MW’ının da iç piyasada tüketilmesi öngörülmektedir. Ayrıca Fransız Alsthom firmasıyla yürütülen 3 ayrı elektrik üretim proje bulunmaktadır. Diğer taraftan Sfax yakınlarında 2020 yılında kurulması planlanan nükleer enerji projesi bulunmaktadır. Birçok Tunuslu mühendis hâlihazırda eğitim programlarına başlamıştır. Güneş ve rüzgar enerjileriyle ilgili projeler de mevcut olup, Bizerte rüzgar enerjisi yatırımının ülke kapasitesini % 4 artırması beklenmektedir.</w:t>
      </w:r>
    </w:p>
    <w:p w:rsidR="00BF3486" w:rsidRDefault="00BF3486" w:rsidP="00BF3486">
      <w:pPr>
        <w:pStyle w:val="Heading1"/>
        <w:spacing w:before="0" w:line="240" w:lineRule="auto"/>
        <w:rPr>
          <w:rFonts w:asciiTheme="minorHAnsi" w:hAnsiTheme="minorHAnsi" w:cs="Times New Roman"/>
          <w:color w:val="000000"/>
          <w:sz w:val="24"/>
          <w:szCs w:val="24"/>
        </w:rPr>
      </w:pPr>
      <w:bookmarkStart w:id="14" w:name="_Toc482353112"/>
      <w:r>
        <w:rPr>
          <w:rFonts w:asciiTheme="minorHAnsi" w:hAnsiTheme="minorHAnsi" w:cs="Times New Roman"/>
          <w:color w:val="000000"/>
          <w:sz w:val="24"/>
          <w:szCs w:val="24"/>
        </w:rPr>
        <w:t> </w:t>
      </w:r>
    </w:p>
    <w:p w:rsidR="00BE1168" w:rsidRPr="001F71B9" w:rsidRDefault="00BE1168" w:rsidP="00BF3486">
      <w:pPr>
        <w:pStyle w:val="Heading1"/>
        <w:spacing w:before="0" w:line="240" w:lineRule="auto"/>
        <w:rPr>
          <w:rFonts w:asciiTheme="minorHAnsi" w:hAnsiTheme="minorHAnsi"/>
          <w:sz w:val="24"/>
          <w:szCs w:val="24"/>
        </w:rPr>
      </w:pPr>
      <w:r w:rsidRPr="001F71B9">
        <w:rPr>
          <w:rFonts w:asciiTheme="minorHAnsi" w:hAnsiTheme="minorHAnsi"/>
          <w:sz w:val="24"/>
          <w:szCs w:val="24"/>
        </w:rPr>
        <w:t>Yatırımlar</w:t>
      </w:r>
      <w:bookmarkEnd w:id="14"/>
    </w:p>
    <w:p w:rsidR="00BE1168" w:rsidRPr="001F71B9" w:rsidRDefault="00BE1168" w:rsidP="00BF3486">
      <w:pPr>
        <w:spacing w:after="0" w:line="240" w:lineRule="auto"/>
        <w:rPr>
          <w:b/>
          <w:sz w:val="24"/>
          <w:szCs w:val="24"/>
        </w:rPr>
      </w:pPr>
      <w:r w:rsidRPr="001F71B9">
        <w:rPr>
          <w:b/>
          <w:noProof/>
          <w:sz w:val="24"/>
          <w:szCs w:val="24"/>
          <w:lang w:eastAsia="tr-TR"/>
        </w:rPr>
        <w:drawing>
          <wp:inline distT="0" distB="0" distL="0" distR="0" wp14:anchorId="63005B1C" wp14:editId="1FB41D90">
            <wp:extent cx="4076700" cy="2404062"/>
            <wp:effectExtent l="0" t="0" r="0" b="0"/>
            <wp:docPr id="4" name="Picture 4" descr="C:\Users\afrikastaj\Desktop\tunus\Doğrudan Yabancı Yatırım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rikastaj\Desktop\tunus\Doğrudan Yabancı Yatırıml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5352" cy="2403267"/>
                    </a:xfrm>
                    <a:prstGeom prst="rect">
                      <a:avLst/>
                    </a:prstGeom>
                    <a:noFill/>
                    <a:ln>
                      <a:noFill/>
                    </a:ln>
                  </pic:spPr>
                </pic:pic>
              </a:graphicData>
            </a:graphic>
          </wp:inline>
        </w:drawing>
      </w:r>
    </w:p>
    <w:p w:rsidR="00BE1168" w:rsidRPr="001F71B9" w:rsidRDefault="00BE1168" w:rsidP="00BF3486">
      <w:pPr>
        <w:pStyle w:val="Quote"/>
        <w:spacing w:after="0" w:line="240" w:lineRule="auto"/>
        <w:rPr>
          <w:sz w:val="24"/>
          <w:szCs w:val="24"/>
        </w:rPr>
      </w:pPr>
      <w:r w:rsidRPr="001F71B9">
        <w:rPr>
          <w:sz w:val="24"/>
          <w:szCs w:val="24"/>
        </w:rPr>
        <w:t>Kaynak: UNCTAD</w:t>
      </w:r>
    </w:p>
    <w:p w:rsidR="00BF3486" w:rsidRDefault="00BF3486" w:rsidP="00BF3486">
      <w:pPr>
        <w:pStyle w:val="Heading3"/>
        <w:spacing w:before="0" w:line="240" w:lineRule="auto"/>
        <w:rPr>
          <w:rFonts w:asciiTheme="minorHAnsi" w:hAnsiTheme="minorHAnsi"/>
          <w:sz w:val="24"/>
          <w:szCs w:val="24"/>
        </w:rPr>
      </w:pPr>
      <w:bookmarkStart w:id="15" w:name="_Toc482353113"/>
    </w:p>
    <w:p w:rsidR="00BE1168" w:rsidRPr="001F71B9" w:rsidRDefault="00BE1168" w:rsidP="00BF3486">
      <w:pPr>
        <w:pStyle w:val="Heading3"/>
        <w:spacing w:before="0" w:line="240" w:lineRule="auto"/>
        <w:rPr>
          <w:rFonts w:asciiTheme="minorHAnsi" w:hAnsiTheme="minorHAnsi"/>
          <w:sz w:val="24"/>
          <w:szCs w:val="24"/>
        </w:rPr>
      </w:pPr>
      <w:r w:rsidRPr="001F71B9">
        <w:rPr>
          <w:rFonts w:asciiTheme="minorHAnsi" w:hAnsiTheme="minorHAnsi"/>
          <w:sz w:val="24"/>
          <w:szCs w:val="24"/>
        </w:rPr>
        <w:t>Doğrudan Yabancı Yatırımlar (milyon dolar)</w:t>
      </w:r>
      <w:bookmarkEnd w:id="15"/>
    </w:p>
    <w:p w:rsidR="00BE1168" w:rsidRDefault="00BE1168" w:rsidP="00BF3486">
      <w:pPr>
        <w:spacing w:after="0" w:line="240" w:lineRule="auto"/>
        <w:jc w:val="both"/>
        <w:rPr>
          <w:sz w:val="24"/>
          <w:szCs w:val="24"/>
        </w:rPr>
      </w:pPr>
      <w:r w:rsidRPr="001F71B9">
        <w:rPr>
          <w:sz w:val="24"/>
          <w:szCs w:val="24"/>
        </w:rPr>
        <w:t xml:space="preserve">2011 yılında Tunus’a doğrudan yatırımlar 1.615 milyon </w:t>
      </w:r>
      <w:r w:rsidRPr="001F71B9">
        <w:rPr>
          <w:color w:val="000000"/>
          <w:sz w:val="24"/>
          <w:szCs w:val="24"/>
        </w:rPr>
        <w:t>Tunus Dinarı</w:t>
      </w:r>
      <w:r w:rsidRPr="001F71B9">
        <w:rPr>
          <w:sz w:val="24"/>
          <w:szCs w:val="24"/>
        </w:rPr>
        <w:t xml:space="preserve">, </w:t>
      </w:r>
      <w:proofErr w:type="gramStart"/>
      <w:r w:rsidRPr="001F71B9">
        <w:rPr>
          <w:sz w:val="24"/>
          <w:szCs w:val="24"/>
        </w:rPr>
        <w:t>portföy</w:t>
      </w:r>
      <w:proofErr w:type="gramEnd"/>
      <w:r w:rsidRPr="001F71B9">
        <w:rPr>
          <w:sz w:val="24"/>
          <w:szCs w:val="24"/>
        </w:rPr>
        <w:t xml:space="preserve"> yatırımları 102 milyon </w:t>
      </w:r>
      <w:r w:rsidRPr="001F71B9">
        <w:rPr>
          <w:color w:val="000000"/>
          <w:sz w:val="24"/>
          <w:szCs w:val="24"/>
        </w:rPr>
        <w:t>Tunus Dinarı</w:t>
      </w:r>
      <w:r w:rsidRPr="001F71B9">
        <w:rPr>
          <w:sz w:val="24"/>
          <w:szCs w:val="24"/>
        </w:rPr>
        <w:t xml:space="preserve"> toplam yatırımlar ise 2010 yılına göre 1.718 milyon </w:t>
      </w:r>
      <w:r w:rsidRPr="001F71B9">
        <w:rPr>
          <w:color w:val="000000"/>
          <w:sz w:val="24"/>
          <w:szCs w:val="24"/>
        </w:rPr>
        <w:t xml:space="preserve">Tunus Dinarı </w:t>
      </w:r>
      <w:r w:rsidRPr="001F71B9">
        <w:rPr>
          <w:sz w:val="24"/>
          <w:szCs w:val="24"/>
        </w:rPr>
        <w:t xml:space="preserve">olarak </w:t>
      </w:r>
      <w:r w:rsidRPr="001F71B9">
        <w:rPr>
          <w:sz w:val="24"/>
          <w:szCs w:val="24"/>
        </w:rPr>
        <w:lastRenderedPageBreak/>
        <w:t xml:space="preserve">gerçekleşmiş olup, 2012 yılında ise doğrudan yatırımlar 2,996 milyon </w:t>
      </w:r>
      <w:r w:rsidRPr="001F71B9">
        <w:rPr>
          <w:color w:val="000000"/>
          <w:sz w:val="24"/>
          <w:szCs w:val="24"/>
        </w:rPr>
        <w:t>Tunus Dinarı</w:t>
      </w:r>
      <w:r w:rsidRPr="001F71B9">
        <w:rPr>
          <w:sz w:val="24"/>
          <w:szCs w:val="24"/>
        </w:rPr>
        <w:t xml:space="preserve">, portföy yatırımları 83 milyon </w:t>
      </w:r>
      <w:r w:rsidRPr="001F71B9">
        <w:rPr>
          <w:color w:val="000000"/>
          <w:sz w:val="24"/>
          <w:szCs w:val="24"/>
        </w:rPr>
        <w:t>Tunus Dinarı</w:t>
      </w:r>
      <w:r w:rsidRPr="001F71B9">
        <w:rPr>
          <w:sz w:val="24"/>
          <w:szCs w:val="24"/>
        </w:rPr>
        <w:t xml:space="preserve">, toplam yatırımlar ise 3.079 </w:t>
      </w:r>
      <w:r w:rsidRPr="001F71B9">
        <w:rPr>
          <w:color w:val="000000"/>
          <w:sz w:val="24"/>
          <w:szCs w:val="24"/>
        </w:rPr>
        <w:t>Tunus Dinarı</w:t>
      </w:r>
      <w:r w:rsidRPr="001F71B9">
        <w:rPr>
          <w:sz w:val="24"/>
          <w:szCs w:val="24"/>
        </w:rPr>
        <w:t xml:space="preserve"> olarak gerçekleşmiştir.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2012 yılında gerçekleştirilen yatırımlar ile birlikte 123 yabancı ortaklı yeni firma üretime başlamış, 185 fitma Tunus’da </w:t>
      </w:r>
      <w:proofErr w:type="gramStart"/>
      <w:r w:rsidRPr="001F71B9">
        <w:rPr>
          <w:sz w:val="24"/>
          <w:szCs w:val="24"/>
        </w:rPr>
        <w:t>halihazırda</w:t>
      </w:r>
      <w:proofErr w:type="gramEnd"/>
      <w:r w:rsidRPr="001F71B9">
        <w:rPr>
          <w:sz w:val="24"/>
          <w:szCs w:val="24"/>
        </w:rPr>
        <w:t xml:space="preserve"> varolan yatırımlarını büyüttü ve 10.263 kişiye isdihtam sağlanmıştır.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Yabancı yatırımların sektörel dağılımları incelendiği zaman, imalat sanayii %52’lik payla birinci sırada yer almaktadır. İmalat sanayiini %35’le hizmetler sektörü,  %11 ile turizm ve %2’lik payla tarım sektörü izlemektedir.  Yatırımların toplamına bakıldığı zaman 3,068 firma Tunus’da faaliyet göstermekte ve 330,000’den fazla istihdam yaratmaktadır.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sz w:val="24"/>
          <w:szCs w:val="24"/>
        </w:rPr>
      </w:pPr>
      <w:r w:rsidRPr="001F71B9">
        <w:rPr>
          <w:sz w:val="24"/>
          <w:szCs w:val="24"/>
        </w:rPr>
        <w:t xml:space="preserve">İmalat sanayisine yönelik yatırımlar ağırlıklı olarak Fransa, İspanya ve İtalya gibi AB ülkelerinden gelirken enerji yatırımlarında İngiltere birinci, İtalya ikinci, Avusturya ise üçüncü sırada yer almış. </w:t>
      </w:r>
    </w:p>
    <w:p w:rsidR="00BF3486" w:rsidRPr="001F71B9" w:rsidRDefault="00BF3486" w:rsidP="00BF3486">
      <w:pPr>
        <w:spacing w:after="0" w:line="240" w:lineRule="auto"/>
        <w:jc w:val="both"/>
        <w:rPr>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Ülkede ihracat yapan firmalara vergi indirimleri, gümrüksüz ithalat ve diğer bazı teşvikler sağlayan “offshore” sistemi yabancı yatırımcılar tarafından tercih edilmektedir. </w:t>
      </w:r>
    </w:p>
    <w:p w:rsidR="00BF3486" w:rsidRPr="001F71B9" w:rsidRDefault="00BF3486" w:rsidP="00BF3486">
      <w:pPr>
        <w:spacing w:after="0" w:line="240" w:lineRule="auto"/>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Tunus’da yatırımı olan yabancı şirketler arasında Autoliv, Benetton, British Gas, Danone-STIAL, Fuba Printed Circuits, Gardeur, Gruner AG, Kaschke-ZKE, Leoni AG, Philips, Pirelli-STIP, Sioen, Société Générale-UIB, Stedim Bag Technology, Téléperformance, Unilever, Van de Velde, Van Laack yer almaktadır. Tunus’da yatırım yapan diğer firmalar, Lacroix, Stanford Reynolds, Metzeler, Societe tuniso-algerienne de </w:t>
      </w:r>
      <w:proofErr w:type="spellStart"/>
      <w:r w:rsidRPr="001F71B9">
        <w:rPr>
          <w:rFonts w:cs="Times New Roman"/>
          <w:sz w:val="24"/>
          <w:szCs w:val="24"/>
        </w:rPr>
        <w:t>ciment</w:t>
      </w:r>
      <w:proofErr w:type="spellEnd"/>
      <w:r w:rsidRPr="001F71B9">
        <w:rPr>
          <w:rFonts w:cs="Times New Roman"/>
          <w:sz w:val="24"/>
          <w:szCs w:val="24"/>
        </w:rPr>
        <w:t xml:space="preserve"> </w:t>
      </w:r>
      <w:proofErr w:type="spellStart"/>
      <w:r w:rsidRPr="001F71B9">
        <w:rPr>
          <w:rFonts w:cs="Times New Roman"/>
          <w:sz w:val="24"/>
          <w:szCs w:val="24"/>
        </w:rPr>
        <w:t>blanc</w:t>
      </w:r>
      <w:proofErr w:type="spellEnd"/>
      <w:r w:rsidRPr="001F71B9">
        <w:rPr>
          <w:rFonts w:cs="Times New Roman"/>
          <w:sz w:val="24"/>
          <w:szCs w:val="24"/>
        </w:rPr>
        <w:t xml:space="preserve"> olmuştur.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Yabancı sermayeli şirket hissedarlarının ortak oldukları şirketlerden elde edilen kar payları Tunus’ta vergiye tabii olmayıp yabancı ortaklar bunu serbestçe yurtdışına transfer edebilmektedirler.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Üretim maliyetlerindeki avantajlar, AB ile serbest ticaret alanı ve diğer Arap ülkeleriyle yapmış olduğu serbest ticaret anlaşmaları çerçevesinde Tunus’da öncelikli yatırım alanları şunlardır: Bilgi işlem ve haberleşme teknolojileri, elektrik elektronik, mekanik (özellikle otomotiv sektörüne yönelik mekanik parçalar ve yan sanayi), tekstil, gıda sanayisi, deri ve ayakkabı.</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Tunus’da biri Zarzis’in güneyinde diğeri Bizerte’nin kuzeyinde olmak üzere iki serbest bölge faaliyette olup söz konusu bölgeler kapsamında yatırımcılara sunulan avantajlar arasında 10 yıl süreyle vergiden muafiyet; sermaye, gelir ve karın serbest transferi; üretimde kullanmak kaydıyla gümrüksüz ithalat yer almaktadır.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World Investment Report verilere göre, Tunus’a yapılan doğrudan yabancı sermaye yatırımı 31,3 milyar ABD dolarına ulaşmıştır. Tunus Yabancı Sermaye Ajansı (FIPA)’nın verilerine göre, Tunus’ta 3.135 yabancı firma faaliyet göstermektedir.</w:t>
      </w:r>
    </w:p>
    <w:p w:rsidR="00BF3486" w:rsidRPr="001F71B9" w:rsidRDefault="00BF3486" w:rsidP="00BF3486">
      <w:pPr>
        <w:spacing w:after="0" w:line="240" w:lineRule="auto"/>
        <w:rPr>
          <w:rFonts w:cs="Times New Roman"/>
          <w:sz w:val="24"/>
          <w:szCs w:val="24"/>
        </w:rPr>
      </w:pPr>
    </w:p>
    <w:p w:rsidR="00A17E9E" w:rsidRPr="001F71B9" w:rsidRDefault="00A17E9E" w:rsidP="00BF3486">
      <w:pPr>
        <w:pStyle w:val="Heading1"/>
        <w:spacing w:before="0" w:line="240" w:lineRule="auto"/>
        <w:rPr>
          <w:rFonts w:asciiTheme="minorHAnsi" w:hAnsiTheme="minorHAnsi"/>
          <w:sz w:val="24"/>
          <w:szCs w:val="24"/>
        </w:rPr>
      </w:pPr>
      <w:bookmarkStart w:id="16" w:name="_Toc482353114"/>
      <w:r w:rsidRPr="001F71B9">
        <w:rPr>
          <w:rFonts w:asciiTheme="minorHAnsi" w:hAnsiTheme="minorHAnsi"/>
          <w:sz w:val="24"/>
          <w:szCs w:val="24"/>
        </w:rPr>
        <w:lastRenderedPageBreak/>
        <w:t>Dış Ticaret</w:t>
      </w:r>
      <w:bookmarkEnd w:id="16"/>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Tunus’un dış ticaretine baktığımızda, 2014 yılında ihracatın 16 milyar $, ithalatın ise 23,6 milyar $ olarak gerçekleştiği görülmektedir. Yıllar itibarıyla giderek artan bir şekilde dış ticaret açığı veren Tunus, 2006 yılında 2,9 milyar $ dış ticaret açığı verirken, 2015 yılında bu açık 3,8 milyar $ düzeyindedir.</w:t>
      </w:r>
    </w:p>
    <w:tbl>
      <w:tblPr>
        <w:tblStyle w:val="TableGrid"/>
        <w:tblW w:w="8964" w:type="dxa"/>
        <w:tblInd w:w="108" w:type="dxa"/>
        <w:tblLook w:val="04A0" w:firstRow="1" w:lastRow="0" w:firstColumn="1" w:lastColumn="0" w:noHBand="0" w:noVBand="1"/>
      </w:tblPr>
      <w:tblGrid>
        <w:gridCol w:w="1359"/>
        <w:gridCol w:w="2010"/>
        <w:gridCol w:w="1860"/>
        <w:gridCol w:w="1635"/>
        <w:gridCol w:w="2100"/>
      </w:tblGrid>
      <w:tr w:rsidR="00BE1168" w:rsidRPr="001F71B9" w:rsidTr="00BF3486">
        <w:trPr>
          <w:trHeight w:val="270"/>
        </w:trPr>
        <w:tc>
          <w:tcPr>
            <w:tcW w:w="1359" w:type="dxa"/>
            <w:hideMark/>
          </w:tcPr>
          <w:p w:rsidR="00BE1168" w:rsidRPr="001F71B9" w:rsidRDefault="00BE1168" w:rsidP="00BF3486">
            <w:pPr>
              <w:jc w:val="center"/>
              <w:rPr>
                <w:b/>
                <w:sz w:val="24"/>
                <w:szCs w:val="24"/>
                <w:lang w:eastAsia="tr-TR"/>
              </w:rPr>
            </w:pPr>
            <w:r w:rsidRPr="001F71B9">
              <w:rPr>
                <w:b/>
                <w:sz w:val="24"/>
                <w:szCs w:val="24"/>
                <w:lang w:eastAsia="tr-TR"/>
              </w:rPr>
              <w:t>YILLAR</w:t>
            </w:r>
          </w:p>
        </w:tc>
        <w:tc>
          <w:tcPr>
            <w:tcW w:w="2010" w:type="dxa"/>
            <w:hideMark/>
          </w:tcPr>
          <w:p w:rsidR="00BE1168" w:rsidRPr="001F71B9" w:rsidRDefault="00BE1168" w:rsidP="00BF3486">
            <w:pPr>
              <w:jc w:val="center"/>
              <w:rPr>
                <w:b/>
                <w:sz w:val="24"/>
                <w:szCs w:val="24"/>
                <w:lang w:eastAsia="tr-TR"/>
              </w:rPr>
            </w:pPr>
            <w:r w:rsidRPr="001F71B9">
              <w:rPr>
                <w:b/>
                <w:sz w:val="24"/>
                <w:szCs w:val="24"/>
                <w:lang w:eastAsia="tr-TR"/>
              </w:rPr>
              <w:t>İHRACAT</w:t>
            </w:r>
          </w:p>
        </w:tc>
        <w:tc>
          <w:tcPr>
            <w:tcW w:w="1860" w:type="dxa"/>
            <w:hideMark/>
          </w:tcPr>
          <w:p w:rsidR="00BE1168" w:rsidRPr="001F71B9" w:rsidRDefault="00BE1168" w:rsidP="00BF3486">
            <w:pPr>
              <w:jc w:val="center"/>
              <w:rPr>
                <w:b/>
                <w:sz w:val="24"/>
                <w:szCs w:val="24"/>
                <w:lang w:eastAsia="tr-TR"/>
              </w:rPr>
            </w:pPr>
            <w:r w:rsidRPr="001F71B9">
              <w:rPr>
                <w:b/>
                <w:sz w:val="24"/>
                <w:szCs w:val="24"/>
                <w:lang w:eastAsia="tr-TR"/>
              </w:rPr>
              <w:t>İTHALAT</w:t>
            </w:r>
          </w:p>
        </w:tc>
        <w:tc>
          <w:tcPr>
            <w:tcW w:w="1635" w:type="dxa"/>
            <w:hideMark/>
          </w:tcPr>
          <w:p w:rsidR="00BE1168" w:rsidRPr="001F71B9" w:rsidRDefault="00BE1168" w:rsidP="00BF3486">
            <w:pPr>
              <w:jc w:val="center"/>
              <w:rPr>
                <w:b/>
                <w:sz w:val="24"/>
                <w:szCs w:val="24"/>
                <w:lang w:eastAsia="tr-TR"/>
              </w:rPr>
            </w:pPr>
            <w:r w:rsidRPr="001F71B9">
              <w:rPr>
                <w:b/>
                <w:sz w:val="24"/>
                <w:szCs w:val="24"/>
                <w:lang w:eastAsia="tr-TR"/>
              </w:rPr>
              <w:t>HACİM</w:t>
            </w:r>
          </w:p>
        </w:tc>
        <w:tc>
          <w:tcPr>
            <w:tcW w:w="2100" w:type="dxa"/>
            <w:hideMark/>
          </w:tcPr>
          <w:p w:rsidR="00BE1168" w:rsidRPr="001F71B9" w:rsidRDefault="00BE1168" w:rsidP="00BF3486">
            <w:pPr>
              <w:jc w:val="center"/>
              <w:rPr>
                <w:b/>
                <w:sz w:val="24"/>
                <w:szCs w:val="24"/>
                <w:lang w:eastAsia="tr-TR"/>
              </w:rPr>
            </w:pPr>
            <w:r w:rsidRPr="001F71B9">
              <w:rPr>
                <w:b/>
                <w:sz w:val="24"/>
                <w:szCs w:val="24"/>
                <w:lang w:eastAsia="tr-TR"/>
              </w:rPr>
              <w:t>DENGE</w:t>
            </w:r>
          </w:p>
        </w:tc>
      </w:tr>
      <w:tr w:rsidR="00BE1168" w:rsidRPr="001F71B9" w:rsidTr="00BF3486">
        <w:trPr>
          <w:trHeight w:val="210"/>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2003</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8.026</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10.951</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18.977</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-2.925</w:t>
            </w:r>
          </w:p>
        </w:tc>
      </w:tr>
      <w:tr w:rsidR="00BE1168" w:rsidRPr="001F71B9" w:rsidTr="00BF3486">
        <w:trPr>
          <w:trHeight w:val="22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2004</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9.684</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12.736</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22.420</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-3.052</w:t>
            </w:r>
          </w:p>
        </w:tc>
      </w:tr>
      <w:tr w:rsidR="00BE1168" w:rsidRPr="001F71B9" w:rsidTr="00BF3486">
        <w:trPr>
          <w:trHeight w:val="210"/>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2005</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10.493</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13.174</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23.667</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-2.681</w:t>
            </w:r>
          </w:p>
        </w:tc>
      </w:tr>
      <w:tr w:rsidR="00BE1168" w:rsidRPr="001F71B9" w:rsidTr="00BF3486">
        <w:trPr>
          <w:trHeight w:val="210"/>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2006</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11.694</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15.007</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26.701</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-3.313</w:t>
            </w:r>
          </w:p>
        </w:tc>
      </w:tr>
      <w:tr w:rsidR="00BE1168" w:rsidRPr="001F71B9" w:rsidTr="00BF3486">
        <w:trPr>
          <w:trHeight w:val="22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2007</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15.165</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19.099</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34.264</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-3.934</w:t>
            </w:r>
          </w:p>
        </w:tc>
      </w:tr>
      <w:tr w:rsidR="00BE1168" w:rsidRPr="001F71B9" w:rsidTr="00BF3486">
        <w:trPr>
          <w:trHeight w:val="210"/>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2008</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19.319</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24.638</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43.957</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-5.319</w:t>
            </w:r>
          </w:p>
        </w:tc>
      </w:tr>
      <w:tr w:rsidR="00BE1168" w:rsidRPr="001F71B9" w:rsidTr="00BF3486">
        <w:trPr>
          <w:trHeight w:val="22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2009</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14.445</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19.096</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33.541</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-4.651</w:t>
            </w:r>
          </w:p>
        </w:tc>
      </w:tr>
      <w:tr w:rsidR="00BE1168" w:rsidRPr="001F71B9" w:rsidTr="00BF3486">
        <w:trPr>
          <w:trHeight w:val="22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2010</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16.426</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22.215</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38.641</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-5.789</w:t>
            </w:r>
          </w:p>
        </w:tc>
      </w:tr>
      <w:tr w:rsidR="00BE1168" w:rsidRPr="001F71B9" w:rsidTr="00BF3486">
        <w:trPr>
          <w:trHeight w:val="25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2011</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17.846</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23.952</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41.798</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-6.106</w:t>
            </w:r>
          </w:p>
        </w:tc>
      </w:tr>
      <w:tr w:rsidR="00BE1168" w:rsidRPr="001F71B9" w:rsidTr="00BF3486">
        <w:trPr>
          <w:trHeight w:val="22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2012</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17.007</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24.470</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41.477</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-7.463</w:t>
            </w:r>
          </w:p>
        </w:tc>
      </w:tr>
      <w:tr w:rsidR="00BE1168" w:rsidRPr="001F71B9" w:rsidTr="00BF3486">
        <w:trPr>
          <w:trHeight w:val="25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2013</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17.060</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24.266</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41.326</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-7.206</w:t>
            </w:r>
          </w:p>
        </w:tc>
      </w:tr>
      <w:tr w:rsidR="00BE1168" w:rsidRPr="001F71B9" w:rsidTr="00BF3486">
        <w:trPr>
          <w:trHeight w:val="25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2014</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16.768</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24.814</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41.582</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-8.046</w:t>
            </w:r>
          </w:p>
        </w:tc>
      </w:tr>
      <w:tr w:rsidR="00BE1168" w:rsidRPr="001F71B9" w:rsidTr="00BF3486">
        <w:trPr>
          <w:trHeight w:val="255"/>
        </w:trPr>
        <w:tc>
          <w:tcPr>
            <w:tcW w:w="1359" w:type="dxa"/>
            <w:hideMark/>
          </w:tcPr>
          <w:p w:rsidR="00BE1168" w:rsidRPr="001F71B9" w:rsidRDefault="00BE1168" w:rsidP="00BF3486">
            <w:pPr>
              <w:jc w:val="center"/>
              <w:rPr>
                <w:sz w:val="24"/>
                <w:szCs w:val="24"/>
                <w:lang w:eastAsia="tr-TR"/>
              </w:rPr>
            </w:pPr>
            <w:r w:rsidRPr="001F71B9">
              <w:rPr>
                <w:sz w:val="24"/>
                <w:szCs w:val="24"/>
                <w:lang w:eastAsia="tr-TR"/>
              </w:rPr>
              <w:t>2015*</w:t>
            </w:r>
          </w:p>
        </w:tc>
        <w:tc>
          <w:tcPr>
            <w:tcW w:w="2010" w:type="dxa"/>
            <w:hideMark/>
          </w:tcPr>
          <w:p w:rsidR="00BE1168" w:rsidRPr="001F71B9" w:rsidRDefault="00BE1168" w:rsidP="00BF3486">
            <w:pPr>
              <w:jc w:val="center"/>
              <w:rPr>
                <w:sz w:val="24"/>
                <w:szCs w:val="24"/>
                <w:lang w:eastAsia="tr-TR"/>
              </w:rPr>
            </w:pPr>
            <w:r w:rsidRPr="001F71B9">
              <w:rPr>
                <w:sz w:val="24"/>
                <w:szCs w:val="24"/>
                <w:lang w:eastAsia="tr-TR"/>
              </w:rPr>
              <w:t>12.930</w:t>
            </w:r>
          </w:p>
        </w:tc>
        <w:tc>
          <w:tcPr>
            <w:tcW w:w="1860" w:type="dxa"/>
            <w:hideMark/>
          </w:tcPr>
          <w:p w:rsidR="00BE1168" w:rsidRPr="001F71B9" w:rsidRDefault="00BE1168" w:rsidP="00BF3486">
            <w:pPr>
              <w:jc w:val="center"/>
              <w:rPr>
                <w:sz w:val="24"/>
                <w:szCs w:val="24"/>
                <w:lang w:eastAsia="tr-TR"/>
              </w:rPr>
            </w:pPr>
            <w:r w:rsidRPr="001F71B9">
              <w:rPr>
                <w:sz w:val="24"/>
                <w:szCs w:val="24"/>
                <w:lang w:eastAsia="tr-TR"/>
              </w:rPr>
              <w:t>16.786</w:t>
            </w:r>
          </w:p>
        </w:tc>
        <w:tc>
          <w:tcPr>
            <w:tcW w:w="1635" w:type="dxa"/>
            <w:hideMark/>
          </w:tcPr>
          <w:p w:rsidR="00BE1168" w:rsidRPr="001F71B9" w:rsidRDefault="00BE1168" w:rsidP="00BF3486">
            <w:pPr>
              <w:jc w:val="center"/>
              <w:rPr>
                <w:sz w:val="24"/>
                <w:szCs w:val="24"/>
                <w:lang w:eastAsia="tr-TR"/>
              </w:rPr>
            </w:pPr>
            <w:r w:rsidRPr="001F71B9">
              <w:rPr>
                <w:sz w:val="24"/>
                <w:szCs w:val="24"/>
                <w:lang w:eastAsia="tr-TR"/>
              </w:rPr>
              <w:t>29.716</w:t>
            </w:r>
          </w:p>
        </w:tc>
        <w:tc>
          <w:tcPr>
            <w:tcW w:w="2100" w:type="dxa"/>
            <w:hideMark/>
          </w:tcPr>
          <w:p w:rsidR="00BE1168" w:rsidRPr="001F71B9" w:rsidRDefault="00BE1168" w:rsidP="00BF3486">
            <w:pPr>
              <w:jc w:val="center"/>
              <w:rPr>
                <w:sz w:val="24"/>
                <w:szCs w:val="24"/>
                <w:lang w:eastAsia="tr-TR"/>
              </w:rPr>
            </w:pPr>
            <w:r w:rsidRPr="001F71B9">
              <w:rPr>
                <w:sz w:val="24"/>
                <w:szCs w:val="24"/>
                <w:lang w:eastAsia="tr-TR"/>
              </w:rPr>
              <w:t>-3.856</w:t>
            </w:r>
          </w:p>
        </w:tc>
      </w:tr>
      <w:tr w:rsidR="00BE1168" w:rsidRPr="001F71B9" w:rsidTr="00BF3486">
        <w:trPr>
          <w:trHeight w:val="255"/>
        </w:trPr>
        <w:tc>
          <w:tcPr>
            <w:tcW w:w="1359" w:type="dxa"/>
          </w:tcPr>
          <w:p w:rsidR="00BE1168" w:rsidRPr="001F71B9" w:rsidRDefault="00BE1168" w:rsidP="00BF3486">
            <w:pPr>
              <w:jc w:val="center"/>
              <w:rPr>
                <w:sz w:val="24"/>
                <w:szCs w:val="24"/>
                <w:lang w:eastAsia="tr-TR"/>
              </w:rPr>
            </w:pPr>
            <w:r w:rsidRPr="001F71B9">
              <w:rPr>
                <w:sz w:val="24"/>
                <w:szCs w:val="24"/>
                <w:lang w:eastAsia="tr-TR"/>
              </w:rPr>
              <w:t>2016</w:t>
            </w:r>
          </w:p>
        </w:tc>
        <w:tc>
          <w:tcPr>
            <w:tcW w:w="2010" w:type="dxa"/>
          </w:tcPr>
          <w:p w:rsidR="00BE1168" w:rsidRPr="001F71B9" w:rsidRDefault="00BE1168" w:rsidP="00BF3486">
            <w:pPr>
              <w:jc w:val="center"/>
              <w:rPr>
                <w:sz w:val="24"/>
                <w:szCs w:val="24"/>
                <w:lang w:eastAsia="tr-TR"/>
              </w:rPr>
            </w:pPr>
            <w:r w:rsidRPr="001F71B9">
              <w:rPr>
                <w:sz w:val="24"/>
                <w:szCs w:val="24"/>
                <w:lang w:eastAsia="tr-TR"/>
              </w:rPr>
              <w:t>13.216</w:t>
            </w:r>
          </w:p>
        </w:tc>
        <w:tc>
          <w:tcPr>
            <w:tcW w:w="1860" w:type="dxa"/>
          </w:tcPr>
          <w:p w:rsidR="00BE1168" w:rsidRPr="001F71B9" w:rsidRDefault="00BE1168" w:rsidP="00BF3486">
            <w:pPr>
              <w:jc w:val="center"/>
              <w:rPr>
                <w:sz w:val="24"/>
                <w:szCs w:val="24"/>
                <w:lang w:eastAsia="tr-TR"/>
              </w:rPr>
            </w:pPr>
            <w:r w:rsidRPr="001F71B9">
              <w:rPr>
                <w:sz w:val="24"/>
                <w:szCs w:val="24"/>
                <w:lang w:eastAsia="tr-TR"/>
              </w:rPr>
              <w:t>16.796</w:t>
            </w:r>
          </w:p>
        </w:tc>
        <w:tc>
          <w:tcPr>
            <w:tcW w:w="1635" w:type="dxa"/>
          </w:tcPr>
          <w:p w:rsidR="00BE1168" w:rsidRPr="001F71B9" w:rsidRDefault="00BE1168" w:rsidP="00BF3486">
            <w:pPr>
              <w:jc w:val="center"/>
              <w:rPr>
                <w:sz w:val="24"/>
                <w:szCs w:val="24"/>
                <w:lang w:eastAsia="tr-TR"/>
              </w:rPr>
            </w:pPr>
            <w:r w:rsidRPr="001F71B9">
              <w:rPr>
                <w:sz w:val="24"/>
                <w:szCs w:val="24"/>
                <w:lang w:eastAsia="tr-TR"/>
              </w:rPr>
              <w:t>30.012</w:t>
            </w:r>
          </w:p>
        </w:tc>
        <w:tc>
          <w:tcPr>
            <w:tcW w:w="2100" w:type="dxa"/>
          </w:tcPr>
          <w:p w:rsidR="00BE1168" w:rsidRPr="001F71B9" w:rsidRDefault="00BE1168" w:rsidP="00BF3486">
            <w:pPr>
              <w:jc w:val="center"/>
              <w:rPr>
                <w:sz w:val="24"/>
                <w:szCs w:val="24"/>
                <w:lang w:eastAsia="tr-TR"/>
              </w:rPr>
            </w:pPr>
            <w:r w:rsidRPr="001F71B9">
              <w:rPr>
                <w:sz w:val="24"/>
                <w:szCs w:val="24"/>
                <w:lang w:eastAsia="tr-TR"/>
              </w:rPr>
              <w:t>-3.580</w:t>
            </w:r>
          </w:p>
        </w:tc>
      </w:tr>
    </w:tbl>
    <w:p w:rsidR="00BE1168" w:rsidRDefault="00BE1168" w:rsidP="00BF3486">
      <w:pPr>
        <w:pStyle w:val="Quote"/>
        <w:spacing w:after="0" w:line="240" w:lineRule="auto"/>
        <w:rPr>
          <w:sz w:val="24"/>
          <w:szCs w:val="24"/>
        </w:rPr>
      </w:pPr>
      <w:r w:rsidRPr="001F71B9">
        <w:rPr>
          <w:sz w:val="24"/>
          <w:szCs w:val="24"/>
        </w:rPr>
        <w:t xml:space="preserve">Kaynak: ITC Trademap, (*) Yansıtılmış veriler. </w:t>
      </w:r>
    </w:p>
    <w:p w:rsidR="00BF3486" w:rsidRPr="00BF3486" w:rsidRDefault="00BF3486" w:rsidP="00BF3486"/>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Tunus, dış ticaretinin ağırlıklı bölümünü AB ülkeleriyle gerçekleştirmektedir. En yoğun ticari ve ekonomik ilişkilere sahip olduğu AB ülkeleri Fransa, İtalya ve Almanya’dır. 1 Ocak 2008 tarihinden itibaren Tunus ile AB arasında serbest ticaret alanı oluşturulmuştur. Tarifelerin indirimi sanayi sektörüne yöneliktir, tarım ve işlenmiş tarım ürünlerini kapsamamaktadır.</w:t>
      </w:r>
    </w:p>
    <w:p w:rsidR="00BE1168" w:rsidRPr="001F71B9" w:rsidRDefault="00BE1168" w:rsidP="00BF3486">
      <w:pPr>
        <w:spacing w:after="0" w:line="240" w:lineRule="auto"/>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Buna ilave olarak, “İlerletilmiş Serbest Ticaret Bölgesi” kapsamında hizmet ve tarım sektöründe de müzakereler 2008 yılı Mart ayında başlamıştır. Tunus, 11 Kasım 2008 tarihinde gerçekleştirilen Tunus-AB Ortaklık Konseyi toplantısı sırasında imtiyazlı ortaklık statüsü talebinde bulunmuştur. Söz konusu imtiyazlı ortaklığın genel çerçevesinin ve amaçlarının belirlenmesini teminen bir ad-hoc komite kurulmasına karar verilmiştir. Bu çerçevede, Avrupa Komşuluk Politikası (ENP) kapsamında Tunus’a söz konusu statünün verilmesi amacıyla bir yol haritasının belirlenmesine yönelik 2008 yılında başlayan görüşmeler devam etmektedir.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Tunus’un Serbest Ticaret Anlaşması olduğu ülkeler; Türkiye, AB, EFTA, Libya, Agadir (Mısır, Fas ve Ürdün), Moritanya’dır.</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 xml:space="preserve">Tunus’un dış ticaretinde ilk üç sırayı, Fransa, </w:t>
      </w:r>
      <w:proofErr w:type="gramStart"/>
      <w:r w:rsidRPr="001F71B9">
        <w:rPr>
          <w:rFonts w:cs="Times New Roman"/>
          <w:sz w:val="24"/>
          <w:szCs w:val="24"/>
        </w:rPr>
        <w:t>İtalya,</w:t>
      </w:r>
      <w:proofErr w:type="gramEnd"/>
      <w:r w:rsidRPr="001F71B9">
        <w:rPr>
          <w:rFonts w:cs="Times New Roman"/>
          <w:sz w:val="24"/>
          <w:szCs w:val="24"/>
        </w:rPr>
        <w:t xml:space="preserve"> ve Almanya almaktadır. Tunus’un dış ekonomik ilişkilerinde AB önemli bir yer tutmaktadır. Bu bağlamda Tunus Arap dünyasında AB ile Ortaklık Anlaşması imzalayan ilk ülke olma özelliğine sahiptir. Tunus, dış ticaretinin ağırlıklı bölümünü AB ülkeleri ile gerçekleştirilmekte olup, en yoğun ticari ve ekonomik ilişkilere sahip olduğu başlıca AB ülkeleri Fransa, İtalya ve Almanya’dır.</w:t>
      </w:r>
    </w:p>
    <w:p w:rsidR="00BE1168" w:rsidRDefault="00BE1168" w:rsidP="00BF3486">
      <w:pPr>
        <w:spacing w:after="0" w:line="240" w:lineRule="auto"/>
        <w:jc w:val="both"/>
        <w:rPr>
          <w:rFonts w:cs="Times New Roman"/>
          <w:sz w:val="24"/>
          <w:szCs w:val="24"/>
        </w:rPr>
      </w:pPr>
      <w:r w:rsidRPr="001F71B9">
        <w:rPr>
          <w:rFonts w:cs="Times New Roman"/>
          <w:sz w:val="24"/>
          <w:szCs w:val="24"/>
        </w:rPr>
        <w:lastRenderedPageBreak/>
        <w:t>2014 yılında Tunus’un ihracatı içerisinde 12’nci sırada yer alan Türkiye’nin payı % 1,3 olmuştur. Aynı yıl Tunus’un ithalatında Türkiye 7’inci sırada yer almakta olup pazar payı % 3,3’dür.</w:t>
      </w:r>
    </w:p>
    <w:p w:rsidR="00BF3486" w:rsidRPr="001F71B9" w:rsidRDefault="00BF3486" w:rsidP="00BF3486">
      <w:pPr>
        <w:spacing w:after="0" w:line="240" w:lineRule="auto"/>
        <w:jc w:val="both"/>
        <w:rPr>
          <w:rFonts w:cs="Times New Roman"/>
          <w:sz w:val="24"/>
          <w:szCs w:val="24"/>
        </w:rPr>
      </w:pPr>
    </w:p>
    <w:p w:rsidR="00A17E9E" w:rsidRPr="001F71B9" w:rsidRDefault="00A17E9E" w:rsidP="00BF3486">
      <w:pPr>
        <w:pStyle w:val="Heading2"/>
        <w:spacing w:before="0" w:line="240" w:lineRule="auto"/>
        <w:rPr>
          <w:rFonts w:asciiTheme="minorHAnsi" w:hAnsiTheme="minorHAnsi"/>
          <w:sz w:val="24"/>
          <w:szCs w:val="24"/>
        </w:rPr>
      </w:pPr>
      <w:bookmarkStart w:id="17" w:name="_Toc482353115"/>
      <w:r w:rsidRPr="001F71B9">
        <w:rPr>
          <w:rFonts w:asciiTheme="minorHAnsi" w:hAnsiTheme="minorHAnsi"/>
          <w:sz w:val="24"/>
          <w:szCs w:val="24"/>
        </w:rPr>
        <w:t>İthalat yaptığı başlıca ülkeler (1000$)</w:t>
      </w:r>
      <w:bookmarkEnd w:id="17"/>
      <w:r w:rsidRPr="001F71B9">
        <w:rPr>
          <w:rFonts w:asciiTheme="minorHAnsi" w:hAnsiTheme="minorHAnsi"/>
          <w:sz w:val="24"/>
          <w:szCs w:val="24"/>
        </w:rPr>
        <w:t xml:space="preserve"> </w:t>
      </w:r>
    </w:p>
    <w:tbl>
      <w:tblPr>
        <w:tblStyle w:val="TableGrid"/>
        <w:tblW w:w="0" w:type="auto"/>
        <w:tblInd w:w="108" w:type="dxa"/>
        <w:tblLook w:val="04A0" w:firstRow="1" w:lastRow="0" w:firstColumn="1" w:lastColumn="0" w:noHBand="0" w:noVBand="1"/>
      </w:tblPr>
      <w:tblGrid>
        <w:gridCol w:w="720"/>
        <w:gridCol w:w="2093"/>
        <w:gridCol w:w="2093"/>
        <w:gridCol w:w="2094"/>
        <w:gridCol w:w="2094"/>
      </w:tblGrid>
      <w:tr w:rsidR="00C85E2A" w:rsidRPr="001F71B9" w:rsidTr="00BF3486">
        <w:trPr>
          <w:trHeight w:val="262"/>
        </w:trPr>
        <w:tc>
          <w:tcPr>
            <w:tcW w:w="720" w:type="dxa"/>
            <w:vAlign w:val="center"/>
          </w:tcPr>
          <w:p w:rsidR="00C85E2A" w:rsidRPr="001F71B9" w:rsidRDefault="00C85E2A" w:rsidP="00BF3486">
            <w:pPr>
              <w:jc w:val="center"/>
              <w:rPr>
                <w:b/>
                <w:sz w:val="24"/>
                <w:szCs w:val="24"/>
              </w:rPr>
            </w:pPr>
            <w:r w:rsidRPr="001F71B9">
              <w:rPr>
                <w:b/>
                <w:sz w:val="24"/>
                <w:szCs w:val="24"/>
              </w:rPr>
              <w:t>SIRA</w:t>
            </w:r>
          </w:p>
        </w:tc>
        <w:tc>
          <w:tcPr>
            <w:tcW w:w="2093" w:type="dxa"/>
            <w:vAlign w:val="center"/>
          </w:tcPr>
          <w:p w:rsidR="00C85E2A" w:rsidRPr="001F71B9" w:rsidRDefault="00C85E2A" w:rsidP="00BF3486">
            <w:pPr>
              <w:jc w:val="center"/>
              <w:rPr>
                <w:b/>
                <w:sz w:val="24"/>
                <w:szCs w:val="24"/>
              </w:rPr>
            </w:pPr>
            <w:r w:rsidRPr="001F71B9">
              <w:rPr>
                <w:b/>
                <w:sz w:val="24"/>
                <w:szCs w:val="24"/>
              </w:rPr>
              <w:t>ÜLKE</w:t>
            </w:r>
          </w:p>
        </w:tc>
        <w:tc>
          <w:tcPr>
            <w:tcW w:w="2093" w:type="dxa"/>
            <w:vAlign w:val="center"/>
          </w:tcPr>
          <w:p w:rsidR="00C85E2A" w:rsidRPr="001F71B9" w:rsidRDefault="00C85E2A" w:rsidP="00BF3486">
            <w:pPr>
              <w:jc w:val="center"/>
              <w:rPr>
                <w:b/>
                <w:sz w:val="24"/>
                <w:szCs w:val="24"/>
              </w:rPr>
            </w:pPr>
            <w:r w:rsidRPr="001F71B9">
              <w:rPr>
                <w:b/>
                <w:sz w:val="24"/>
                <w:szCs w:val="24"/>
              </w:rPr>
              <w:t>2013</w:t>
            </w:r>
          </w:p>
        </w:tc>
        <w:tc>
          <w:tcPr>
            <w:tcW w:w="2094" w:type="dxa"/>
            <w:vAlign w:val="center"/>
          </w:tcPr>
          <w:p w:rsidR="00C85E2A" w:rsidRPr="001F71B9" w:rsidRDefault="00C85E2A" w:rsidP="00BF3486">
            <w:pPr>
              <w:jc w:val="center"/>
              <w:rPr>
                <w:b/>
                <w:sz w:val="24"/>
                <w:szCs w:val="24"/>
              </w:rPr>
            </w:pPr>
            <w:r w:rsidRPr="001F71B9">
              <w:rPr>
                <w:b/>
                <w:sz w:val="24"/>
                <w:szCs w:val="24"/>
              </w:rPr>
              <w:t>2014</w:t>
            </w:r>
          </w:p>
        </w:tc>
        <w:tc>
          <w:tcPr>
            <w:tcW w:w="2094" w:type="dxa"/>
            <w:vAlign w:val="center"/>
          </w:tcPr>
          <w:p w:rsidR="00C85E2A" w:rsidRPr="001F71B9" w:rsidRDefault="00C85E2A" w:rsidP="00BF3486">
            <w:pPr>
              <w:jc w:val="center"/>
              <w:rPr>
                <w:b/>
                <w:sz w:val="24"/>
                <w:szCs w:val="24"/>
              </w:rPr>
            </w:pPr>
            <w:r w:rsidRPr="001F71B9">
              <w:rPr>
                <w:b/>
                <w:sz w:val="24"/>
                <w:szCs w:val="24"/>
              </w:rPr>
              <w:t>2015</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1</w:t>
            </w:r>
          </w:p>
        </w:tc>
        <w:tc>
          <w:tcPr>
            <w:tcW w:w="2093" w:type="dxa"/>
            <w:vAlign w:val="center"/>
          </w:tcPr>
          <w:p w:rsidR="00C85E2A" w:rsidRPr="001F71B9" w:rsidRDefault="00C85E2A" w:rsidP="00BF3486">
            <w:pPr>
              <w:jc w:val="center"/>
              <w:rPr>
                <w:sz w:val="24"/>
                <w:szCs w:val="24"/>
              </w:rPr>
            </w:pPr>
            <w:r w:rsidRPr="001F71B9">
              <w:rPr>
                <w:sz w:val="24"/>
                <w:szCs w:val="24"/>
              </w:rPr>
              <w:t>Fransa</w:t>
            </w:r>
          </w:p>
        </w:tc>
        <w:tc>
          <w:tcPr>
            <w:tcW w:w="2093" w:type="dxa"/>
            <w:vAlign w:val="center"/>
          </w:tcPr>
          <w:p w:rsidR="00C85E2A" w:rsidRPr="001F71B9" w:rsidRDefault="00C85E2A" w:rsidP="00BF3486">
            <w:pPr>
              <w:jc w:val="center"/>
              <w:rPr>
                <w:sz w:val="24"/>
                <w:szCs w:val="24"/>
              </w:rPr>
            </w:pPr>
            <w:r w:rsidRPr="001F71B9">
              <w:rPr>
                <w:sz w:val="24"/>
                <w:szCs w:val="24"/>
              </w:rPr>
              <w:t>4,436,712</w:t>
            </w:r>
          </w:p>
        </w:tc>
        <w:tc>
          <w:tcPr>
            <w:tcW w:w="2094" w:type="dxa"/>
            <w:vAlign w:val="center"/>
          </w:tcPr>
          <w:p w:rsidR="00C85E2A" w:rsidRPr="001F71B9" w:rsidRDefault="00C85E2A" w:rsidP="00BF3486">
            <w:pPr>
              <w:jc w:val="center"/>
              <w:rPr>
                <w:sz w:val="24"/>
                <w:szCs w:val="24"/>
              </w:rPr>
            </w:pPr>
            <w:r w:rsidRPr="001F71B9">
              <w:rPr>
                <w:sz w:val="24"/>
                <w:szCs w:val="24"/>
              </w:rPr>
              <w:t>4,044,975</w:t>
            </w:r>
          </w:p>
        </w:tc>
        <w:tc>
          <w:tcPr>
            <w:tcW w:w="2094" w:type="dxa"/>
            <w:vAlign w:val="center"/>
          </w:tcPr>
          <w:p w:rsidR="00C85E2A" w:rsidRPr="001F71B9" w:rsidRDefault="00C85E2A" w:rsidP="00BF3486">
            <w:pPr>
              <w:jc w:val="center"/>
              <w:rPr>
                <w:sz w:val="24"/>
                <w:szCs w:val="24"/>
              </w:rPr>
            </w:pPr>
            <w:r w:rsidRPr="001F71B9">
              <w:rPr>
                <w:sz w:val="24"/>
                <w:szCs w:val="24"/>
              </w:rPr>
              <w:t>3,598,235</w:t>
            </w:r>
          </w:p>
        </w:tc>
      </w:tr>
      <w:tr w:rsidR="00C85E2A" w:rsidRPr="001F71B9" w:rsidTr="00BF3486">
        <w:trPr>
          <w:trHeight w:val="243"/>
        </w:trPr>
        <w:tc>
          <w:tcPr>
            <w:tcW w:w="720" w:type="dxa"/>
            <w:vAlign w:val="center"/>
          </w:tcPr>
          <w:p w:rsidR="00C85E2A" w:rsidRPr="001F71B9" w:rsidRDefault="00C85E2A" w:rsidP="00BF3486">
            <w:pPr>
              <w:jc w:val="center"/>
              <w:rPr>
                <w:sz w:val="24"/>
                <w:szCs w:val="24"/>
              </w:rPr>
            </w:pPr>
            <w:r w:rsidRPr="001F71B9">
              <w:rPr>
                <w:sz w:val="24"/>
                <w:szCs w:val="24"/>
              </w:rPr>
              <w:t>2</w:t>
            </w:r>
          </w:p>
        </w:tc>
        <w:tc>
          <w:tcPr>
            <w:tcW w:w="2093" w:type="dxa"/>
            <w:vAlign w:val="center"/>
          </w:tcPr>
          <w:p w:rsidR="00C85E2A" w:rsidRPr="001F71B9" w:rsidRDefault="00C85E2A" w:rsidP="00BF3486">
            <w:pPr>
              <w:jc w:val="center"/>
              <w:rPr>
                <w:sz w:val="24"/>
                <w:szCs w:val="24"/>
              </w:rPr>
            </w:pPr>
            <w:r w:rsidRPr="001F71B9">
              <w:rPr>
                <w:sz w:val="24"/>
                <w:szCs w:val="24"/>
              </w:rPr>
              <w:t>İtalya</w:t>
            </w:r>
          </w:p>
        </w:tc>
        <w:tc>
          <w:tcPr>
            <w:tcW w:w="2093" w:type="dxa"/>
            <w:vAlign w:val="center"/>
          </w:tcPr>
          <w:p w:rsidR="00C85E2A" w:rsidRPr="001F71B9" w:rsidRDefault="00C85E2A" w:rsidP="00BF3486">
            <w:pPr>
              <w:jc w:val="center"/>
              <w:rPr>
                <w:sz w:val="24"/>
                <w:szCs w:val="24"/>
              </w:rPr>
            </w:pPr>
            <w:r w:rsidRPr="001F71B9">
              <w:rPr>
                <w:sz w:val="24"/>
                <w:szCs w:val="24"/>
              </w:rPr>
              <w:t>3,521,612</w:t>
            </w:r>
          </w:p>
        </w:tc>
        <w:tc>
          <w:tcPr>
            <w:tcW w:w="2094" w:type="dxa"/>
            <w:vAlign w:val="center"/>
          </w:tcPr>
          <w:p w:rsidR="00C85E2A" w:rsidRPr="001F71B9" w:rsidRDefault="00C85E2A" w:rsidP="00BF3486">
            <w:pPr>
              <w:jc w:val="center"/>
              <w:rPr>
                <w:sz w:val="24"/>
                <w:szCs w:val="24"/>
              </w:rPr>
            </w:pPr>
            <w:r w:rsidRPr="001F71B9">
              <w:rPr>
                <w:sz w:val="24"/>
                <w:szCs w:val="24"/>
              </w:rPr>
              <w:t>3,634,615</w:t>
            </w:r>
          </w:p>
        </w:tc>
        <w:tc>
          <w:tcPr>
            <w:tcW w:w="2094" w:type="dxa"/>
            <w:vAlign w:val="center"/>
          </w:tcPr>
          <w:p w:rsidR="00C85E2A" w:rsidRPr="001F71B9" w:rsidRDefault="00C85E2A" w:rsidP="00BF3486">
            <w:pPr>
              <w:jc w:val="center"/>
              <w:rPr>
                <w:sz w:val="24"/>
                <w:szCs w:val="24"/>
              </w:rPr>
            </w:pPr>
            <w:r w:rsidRPr="001F71B9">
              <w:rPr>
                <w:sz w:val="24"/>
                <w:szCs w:val="24"/>
              </w:rPr>
              <w:t>3,013,968</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3</w:t>
            </w:r>
          </w:p>
        </w:tc>
        <w:tc>
          <w:tcPr>
            <w:tcW w:w="2093" w:type="dxa"/>
            <w:vAlign w:val="center"/>
          </w:tcPr>
          <w:p w:rsidR="00C85E2A" w:rsidRPr="001F71B9" w:rsidRDefault="00C85E2A" w:rsidP="00BF3486">
            <w:pPr>
              <w:jc w:val="center"/>
              <w:rPr>
                <w:sz w:val="24"/>
                <w:szCs w:val="24"/>
              </w:rPr>
            </w:pPr>
            <w:r w:rsidRPr="001F71B9">
              <w:rPr>
                <w:sz w:val="24"/>
                <w:szCs w:val="24"/>
              </w:rPr>
              <w:t>Çin</w:t>
            </w:r>
          </w:p>
        </w:tc>
        <w:tc>
          <w:tcPr>
            <w:tcW w:w="2093" w:type="dxa"/>
            <w:vAlign w:val="center"/>
          </w:tcPr>
          <w:p w:rsidR="00C85E2A" w:rsidRPr="001F71B9" w:rsidRDefault="00C85E2A" w:rsidP="00BF3486">
            <w:pPr>
              <w:jc w:val="center"/>
              <w:rPr>
                <w:sz w:val="24"/>
                <w:szCs w:val="24"/>
              </w:rPr>
            </w:pPr>
            <w:r w:rsidRPr="001F71B9">
              <w:rPr>
                <w:sz w:val="24"/>
                <w:szCs w:val="24"/>
              </w:rPr>
              <w:t>1,533,198</w:t>
            </w:r>
          </w:p>
        </w:tc>
        <w:tc>
          <w:tcPr>
            <w:tcW w:w="2094" w:type="dxa"/>
            <w:vAlign w:val="center"/>
          </w:tcPr>
          <w:p w:rsidR="00C85E2A" w:rsidRPr="001F71B9" w:rsidRDefault="00C85E2A" w:rsidP="00BF3486">
            <w:pPr>
              <w:jc w:val="center"/>
              <w:rPr>
                <w:sz w:val="24"/>
                <w:szCs w:val="24"/>
              </w:rPr>
            </w:pPr>
            <w:r w:rsidRPr="001F71B9">
              <w:rPr>
                <w:sz w:val="24"/>
                <w:szCs w:val="24"/>
              </w:rPr>
              <w:t>1,782,594</w:t>
            </w:r>
          </w:p>
        </w:tc>
        <w:tc>
          <w:tcPr>
            <w:tcW w:w="2094" w:type="dxa"/>
            <w:vAlign w:val="center"/>
          </w:tcPr>
          <w:p w:rsidR="00C85E2A" w:rsidRPr="001F71B9" w:rsidRDefault="00C85E2A" w:rsidP="00BF3486">
            <w:pPr>
              <w:jc w:val="center"/>
              <w:rPr>
                <w:sz w:val="24"/>
                <w:szCs w:val="24"/>
              </w:rPr>
            </w:pPr>
            <w:r w:rsidRPr="001F71B9">
              <w:rPr>
                <w:sz w:val="24"/>
                <w:szCs w:val="24"/>
              </w:rPr>
              <w:t>1,692,094</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4</w:t>
            </w:r>
          </w:p>
        </w:tc>
        <w:tc>
          <w:tcPr>
            <w:tcW w:w="2093" w:type="dxa"/>
            <w:vAlign w:val="center"/>
          </w:tcPr>
          <w:p w:rsidR="00C85E2A" w:rsidRPr="001F71B9" w:rsidRDefault="00C85E2A" w:rsidP="00BF3486">
            <w:pPr>
              <w:jc w:val="center"/>
              <w:rPr>
                <w:sz w:val="24"/>
                <w:szCs w:val="24"/>
              </w:rPr>
            </w:pPr>
            <w:r w:rsidRPr="001F71B9">
              <w:rPr>
                <w:sz w:val="24"/>
                <w:szCs w:val="24"/>
              </w:rPr>
              <w:t>Almanya</w:t>
            </w:r>
          </w:p>
        </w:tc>
        <w:tc>
          <w:tcPr>
            <w:tcW w:w="2093" w:type="dxa"/>
            <w:vAlign w:val="center"/>
          </w:tcPr>
          <w:p w:rsidR="00C85E2A" w:rsidRPr="001F71B9" w:rsidRDefault="00C85E2A" w:rsidP="00BF3486">
            <w:pPr>
              <w:jc w:val="center"/>
              <w:rPr>
                <w:sz w:val="24"/>
                <w:szCs w:val="24"/>
              </w:rPr>
            </w:pPr>
            <w:r w:rsidRPr="001F71B9">
              <w:rPr>
                <w:sz w:val="24"/>
                <w:szCs w:val="24"/>
              </w:rPr>
              <w:t>1,739,752</w:t>
            </w:r>
          </w:p>
        </w:tc>
        <w:tc>
          <w:tcPr>
            <w:tcW w:w="2094" w:type="dxa"/>
            <w:vAlign w:val="center"/>
          </w:tcPr>
          <w:p w:rsidR="00C85E2A" w:rsidRPr="001F71B9" w:rsidRDefault="00C85E2A" w:rsidP="00BF3486">
            <w:pPr>
              <w:jc w:val="center"/>
              <w:rPr>
                <w:sz w:val="24"/>
                <w:szCs w:val="24"/>
              </w:rPr>
            </w:pPr>
            <w:r w:rsidRPr="001F71B9">
              <w:rPr>
                <w:sz w:val="24"/>
                <w:szCs w:val="24"/>
              </w:rPr>
              <w:t>1,739,941</w:t>
            </w:r>
          </w:p>
        </w:tc>
        <w:tc>
          <w:tcPr>
            <w:tcW w:w="2094" w:type="dxa"/>
            <w:vAlign w:val="center"/>
          </w:tcPr>
          <w:p w:rsidR="00C85E2A" w:rsidRPr="001F71B9" w:rsidRDefault="00C85E2A" w:rsidP="00BF3486">
            <w:pPr>
              <w:jc w:val="center"/>
              <w:rPr>
                <w:sz w:val="24"/>
                <w:szCs w:val="24"/>
              </w:rPr>
            </w:pPr>
            <w:r w:rsidRPr="001F71B9">
              <w:rPr>
                <w:sz w:val="24"/>
                <w:szCs w:val="24"/>
              </w:rPr>
              <w:t>1,479,343</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5</w:t>
            </w:r>
          </w:p>
        </w:tc>
        <w:tc>
          <w:tcPr>
            <w:tcW w:w="2093" w:type="dxa"/>
            <w:vAlign w:val="center"/>
          </w:tcPr>
          <w:p w:rsidR="00C85E2A" w:rsidRPr="001F71B9" w:rsidRDefault="00C85E2A" w:rsidP="00BF3486">
            <w:pPr>
              <w:jc w:val="center"/>
              <w:rPr>
                <w:sz w:val="24"/>
                <w:szCs w:val="24"/>
              </w:rPr>
            </w:pPr>
            <w:r w:rsidRPr="001F71B9">
              <w:rPr>
                <w:sz w:val="24"/>
                <w:szCs w:val="24"/>
              </w:rPr>
              <w:t>İspanya</w:t>
            </w:r>
          </w:p>
        </w:tc>
        <w:tc>
          <w:tcPr>
            <w:tcW w:w="2093" w:type="dxa"/>
            <w:vAlign w:val="center"/>
          </w:tcPr>
          <w:p w:rsidR="00C85E2A" w:rsidRPr="001F71B9" w:rsidRDefault="00C85E2A" w:rsidP="00BF3486">
            <w:pPr>
              <w:jc w:val="center"/>
              <w:rPr>
                <w:sz w:val="24"/>
                <w:szCs w:val="24"/>
              </w:rPr>
            </w:pPr>
            <w:r w:rsidRPr="001F71B9">
              <w:rPr>
                <w:sz w:val="24"/>
                <w:szCs w:val="24"/>
              </w:rPr>
              <w:t>1,117,795</w:t>
            </w:r>
          </w:p>
        </w:tc>
        <w:tc>
          <w:tcPr>
            <w:tcW w:w="2094" w:type="dxa"/>
            <w:vAlign w:val="center"/>
          </w:tcPr>
          <w:p w:rsidR="00C85E2A" w:rsidRPr="001F71B9" w:rsidRDefault="00C85E2A" w:rsidP="00BF3486">
            <w:pPr>
              <w:jc w:val="center"/>
              <w:rPr>
                <w:sz w:val="24"/>
                <w:szCs w:val="24"/>
              </w:rPr>
            </w:pPr>
            <w:r w:rsidRPr="001F71B9">
              <w:rPr>
                <w:sz w:val="24"/>
                <w:szCs w:val="24"/>
              </w:rPr>
              <w:t>1,005,297</w:t>
            </w:r>
          </w:p>
        </w:tc>
        <w:tc>
          <w:tcPr>
            <w:tcW w:w="2094" w:type="dxa"/>
            <w:vAlign w:val="center"/>
          </w:tcPr>
          <w:p w:rsidR="00C85E2A" w:rsidRPr="001F71B9" w:rsidRDefault="00C85E2A" w:rsidP="00BF3486">
            <w:pPr>
              <w:jc w:val="center"/>
              <w:rPr>
                <w:sz w:val="24"/>
                <w:szCs w:val="24"/>
              </w:rPr>
            </w:pPr>
            <w:r w:rsidRPr="001F71B9">
              <w:rPr>
                <w:sz w:val="24"/>
                <w:szCs w:val="24"/>
              </w:rPr>
              <w:t>847,684</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6</w:t>
            </w:r>
          </w:p>
        </w:tc>
        <w:tc>
          <w:tcPr>
            <w:tcW w:w="2093" w:type="dxa"/>
            <w:vAlign w:val="center"/>
          </w:tcPr>
          <w:p w:rsidR="00C85E2A" w:rsidRPr="001F71B9" w:rsidRDefault="00C85E2A" w:rsidP="00BF3486">
            <w:pPr>
              <w:jc w:val="center"/>
              <w:rPr>
                <w:sz w:val="24"/>
                <w:szCs w:val="24"/>
              </w:rPr>
            </w:pPr>
            <w:r w:rsidRPr="001F71B9">
              <w:rPr>
                <w:sz w:val="24"/>
                <w:szCs w:val="24"/>
              </w:rPr>
              <w:t>Rusya</w:t>
            </w:r>
          </w:p>
        </w:tc>
        <w:tc>
          <w:tcPr>
            <w:tcW w:w="2093" w:type="dxa"/>
            <w:vAlign w:val="center"/>
          </w:tcPr>
          <w:p w:rsidR="00C85E2A" w:rsidRPr="001F71B9" w:rsidRDefault="00C85E2A" w:rsidP="00BF3486">
            <w:pPr>
              <w:jc w:val="center"/>
              <w:rPr>
                <w:sz w:val="24"/>
                <w:szCs w:val="24"/>
              </w:rPr>
            </w:pPr>
            <w:r w:rsidRPr="001F71B9">
              <w:rPr>
                <w:sz w:val="24"/>
                <w:szCs w:val="24"/>
              </w:rPr>
              <w:t>654,99</w:t>
            </w:r>
          </w:p>
        </w:tc>
        <w:tc>
          <w:tcPr>
            <w:tcW w:w="2094" w:type="dxa"/>
            <w:vAlign w:val="center"/>
          </w:tcPr>
          <w:p w:rsidR="00C85E2A" w:rsidRPr="001F71B9" w:rsidRDefault="00C85E2A" w:rsidP="00BF3486">
            <w:pPr>
              <w:jc w:val="center"/>
              <w:rPr>
                <w:sz w:val="24"/>
                <w:szCs w:val="24"/>
              </w:rPr>
            </w:pPr>
            <w:r w:rsidRPr="001F71B9">
              <w:rPr>
                <w:sz w:val="24"/>
                <w:szCs w:val="24"/>
              </w:rPr>
              <w:t>1,052,360</w:t>
            </w:r>
          </w:p>
        </w:tc>
        <w:tc>
          <w:tcPr>
            <w:tcW w:w="2094" w:type="dxa"/>
            <w:vAlign w:val="center"/>
          </w:tcPr>
          <w:p w:rsidR="00C85E2A" w:rsidRPr="001F71B9" w:rsidRDefault="00C85E2A" w:rsidP="00BF3486">
            <w:pPr>
              <w:jc w:val="center"/>
              <w:rPr>
                <w:sz w:val="24"/>
                <w:szCs w:val="24"/>
              </w:rPr>
            </w:pPr>
            <w:r w:rsidRPr="001F71B9">
              <w:rPr>
                <w:sz w:val="24"/>
                <w:szCs w:val="24"/>
              </w:rPr>
              <w:t>815,397</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7</w:t>
            </w:r>
          </w:p>
        </w:tc>
        <w:tc>
          <w:tcPr>
            <w:tcW w:w="2093" w:type="dxa"/>
            <w:vAlign w:val="center"/>
          </w:tcPr>
          <w:p w:rsidR="00C85E2A" w:rsidRPr="001F71B9" w:rsidRDefault="00C85E2A" w:rsidP="00BF3486">
            <w:pPr>
              <w:jc w:val="center"/>
              <w:rPr>
                <w:sz w:val="24"/>
                <w:szCs w:val="24"/>
              </w:rPr>
            </w:pPr>
            <w:r w:rsidRPr="001F71B9">
              <w:rPr>
                <w:sz w:val="24"/>
                <w:szCs w:val="24"/>
              </w:rPr>
              <w:t>Cezayir</w:t>
            </w:r>
          </w:p>
        </w:tc>
        <w:tc>
          <w:tcPr>
            <w:tcW w:w="2093" w:type="dxa"/>
            <w:vAlign w:val="center"/>
          </w:tcPr>
          <w:p w:rsidR="00C85E2A" w:rsidRPr="001F71B9" w:rsidRDefault="00C85E2A" w:rsidP="00BF3486">
            <w:pPr>
              <w:jc w:val="center"/>
              <w:rPr>
                <w:sz w:val="24"/>
                <w:szCs w:val="24"/>
              </w:rPr>
            </w:pPr>
            <w:r w:rsidRPr="001F71B9">
              <w:rPr>
                <w:sz w:val="24"/>
                <w:szCs w:val="24"/>
              </w:rPr>
              <w:t>1,185,238</w:t>
            </w:r>
          </w:p>
        </w:tc>
        <w:tc>
          <w:tcPr>
            <w:tcW w:w="2094" w:type="dxa"/>
            <w:vAlign w:val="center"/>
          </w:tcPr>
          <w:p w:rsidR="00C85E2A" w:rsidRPr="001F71B9" w:rsidRDefault="00C85E2A" w:rsidP="00BF3486">
            <w:pPr>
              <w:jc w:val="center"/>
              <w:rPr>
                <w:sz w:val="24"/>
                <w:szCs w:val="24"/>
              </w:rPr>
            </w:pPr>
            <w:r w:rsidRPr="001F71B9">
              <w:rPr>
                <w:sz w:val="24"/>
                <w:szCs w:val="24"/>
              </w:rPr>
              <w:t>1,572,489</w:t>
            </w:r>
          </w:p>
        </w:tc>
        <w:tc>
          <w:tcPr>
            <w:tcW w:w="2094" w:type="dxa"/>
            <w:vAlign w:val="center"/>
          </w:tcPr>
          <w:p w:rsidR="00C85E2A" w:rsidRPr="001F71B9" w:rsidRDefault="00C85E2A" w:rsidP="00BF3486">
            <w:pPr>
              <w:jc w:val="center"/>
              <w:rPr>
                <w:sz w:val="24"/>
                <w:szCs w:val="24"/>
              </w:rPr>
            </w:pPr>
            <w:r w:rsidRPr="001F71B9">
              <w:rPr>
                <w:sz w:val="24"/>
                <w:szCs w:val="24"/>
              </w:rPr>
              <w:t>801,324</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8</w:t>
            </w:r>
          </w:p>
        </w:tc>
        <w:tc>
          <w:tcPr>
            <w:tcW w:w="2093" w:type="dxa"/>
            <w:vAlign w:val="center"/>
          </w:tcPr>
          <w:p w:rsidR="00C85E2A" w:rsidRPr="001F71B9" w:rsidRDefault="00C85E2A" w:rsidP="00BF3486">
            <w:pPr>
              <w:jc w:val="center"/>
              <w:rPr>
                <w:sz w:val="24"/>
                <w:szCs w:val="24"/>
              </w:rPr>
            </w:pPr>
            <w:r w:rsidRPr="001F71B9">
              <w:rPr>
                <w:sz w:val="24"/>
                <w:szCs w:val="24"/>
              </w:rPr>
              <w:t>Türkiye</w:t>
            </w:r>
          </w:p>
        </w:tc>
        <w:tc>
          <w:tcPr>
            <w:tcW w:w="2093" w:type="dxa"/>
            <w:vAlign w:val="center"/>
          </w:tcPr>
          <w:p w:rsidR="00C85E2A" w:rsidRPr="001F71B9" w:rsidRDefault="00C85E2A" w:rsidP="00BF3486">
            <w:pPr>
              <w:jc w:val="center"/>
              <w:rPr>
                <w:sz w:val="24"/>
                <w:szCs w:val="24"/>
              </w:rPr>
            </w:pPr>
            <w:r w:rsidRPr="001F71B9">
              <w:rPr>
                <w:sz w:val="24"/>
                <w:szCs w:val="24"/>
              </w:rPr>
              <w:t>820,977</w:t>
            </w:r>
          </w:p>
        </w:tc>
        <w:tc>
          <w:tcPr>
            <w:tcW w:w="2094" w:type="dxa"/>
            <w:vAlign w:val="center"/>
          </w:tcPr>
          <w:p w:rsidR="00C85E2A" w:rsidRPr="001F71B9" w:rsidRDefault="00C85E2A" w:rsidP="00BF3486">
            <w:pPr>
              <w:jc w:val="center"/>
              <w:rPr>
                <w:sz w:val="24"/>
                <w:szCs w:val="24"/>
              </w:rPr>
            </w:pPr>
            <w:r w:rsidRPr="001F71B9">
              <w:rPr>
                <w:sz w:val="24"/>
                <w:szCs w:val="24"/>
              </w:rPr>
              <w:t>926,876</w:t>
            </w:r>
          </w:p>
        </w:tc>
        <w:tc>
          <w:tcPr>
            <w:tcW w:w="2094" w:type="dxa"/>
            <w:vAlign w:val="center"/>
          </w:tcPr>
          <w:p w:rsidR="00C85E2A" w:rsidRPr="001F71B9" w:rsidRDefault="00C85E2A" w:rsidP="00BF3486">
            <w:pPr>
              <w:jc w:val="center"/>
              <w:rPr>
                <w:sz w:val="24"/>
                <w:szCs w:val="24"/>
              </w:rPr>
            </w:pPr>
            <w:r w:rsidRPr="001F71B9">
              <w:rPr>
                <w:sz w:val="24"/>
                <w:szCs w:val="24"/>
              </w:rPr>
              <w:t>787,589</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9</w:t>
            </w:r>
          </w:p>
        </w:tc>
        <w:tc>
          <w:tcPr>
            <w:tcW w:w="2093" w:type="dxa"/>
            <w:vAlign w:val="center"/>
          </w:tcPr>
          <w:p w:rsidR="00C85E2A" w:rsidRPr="001F71B9" w:rsidRDefault="00C85E2A" w:rsidP="00BF3486">
            <w:pPr>
              <w:jc w:val="center"/>
              <w:rPr>
                <w:sz w:val="24"/>
                <w:szCs w:val="24"/>
              </w:rPr>
            </w:pPr>
            <w:r w:rsidRPr="001F71B9">
              <w:rPr>
                <w:sz w:val="24"/>
                <w:szCs w:val="24"/>
              </w:rPr>
              <w:t>ABD</w:t>
            </w:r>
          </w:p>
        </w:tc>
        <w:tc>
          <w:tcPr>
            <w:tcW w:w="2093" w:type="dxa"/>
            <w:vAlign w:val="center"/>
          </w:tcPr>
          <w:p w:rsidR="00C85E2A" w:rsidRPr="001F71B9" w:rsidRDefault="00C85E2A" w:rsidP="00BF3486">
            <w:pPr>
              <w:jc w:val="center"/>
              <w:rPr>
                <w:sz w:val="24"/>
                <w:szCs w:val="24"/>
              </w:rPr>
            </w:pPr>
            <w:r w:rsidRPr="001F71B9">
              <w:rPr>
                <w:sz w:val="24"/>
                <w:szCs w:val="24"/>
              </w:rPr>
              <w:t>798,352</w:t>
            </w:r>
          </w:p>
        </w:tc>
        <w:tc>
          <w:tcPr>
            <w:tcW w:w="2094" w:type="dxa"/>
            <w:vAlign w:val="center"/>
          </w:tcPr>
          <w:p w:rsidR="00C85E2A" w:rsidRPr="001F71B9" w:rsidRDefault="00C85E2A" w:rsidP="00BF3486">
            <w:pPr>
              <w:jc w:val="center"/>
              <w:rPr>
                <w:sz w:val="24"/>
                <w:szCs w:val="24"/>
              </w:rPr>
            </w:pPr>
            <w:r w:rsidRPr="001F71B9">
              <w:rPr>
                <w:sz w:val="24"/>
                <w:szCs w:val="24"/>
              </w:rPr>
              <w:t>720,276</w:t>
            </w:r>
          </w:p>
        </w:tc>
        <w:tc>
          <w:tcPr>
            <w:tcW w:w="2094" w:type="dxa"/>
            <w:vAlign w:val="center"/>
          </w:tcPr>
          <w:p w:rsidR="00C85E2A" w:rsidRPr="001F71B9" w:rsidRDefault="00C85E2A" w:rsidP="00BF3486">
            <w:pPr>
              <w:jc w:val="center"/>
              <w:rPr>
                <w:sz w:val="24"/>
                <w:szCs w:val="24"/>
              </w:rPr>
            </w:pPr>
            <w:r w:rsidRPr="001F71B9">
              <w:rPr>
                <w:sz w:val="24"/>
                <w:szCs w:val="24"/>
              </w:rPr>
              <w:t>618,049</w:t>
            </w:r>
          </w:p>
        </w:tc>
      </w:tr>
      <w:tr w:rsidR="00C85E2A" w:rsidRPr="001F71B9" w:rsidTr="00BF3486">
        <w:trPr>
          <w:trHeight w:val="262"/>
        </w:trPr>
        <w:tc>
          <w:tcPr>
            <w:tcW w:w="720" w:type="dxa"/>
            <w:vAlign w:val="center"/>
          </w:tcPr>
          <w:p w:rsidR="00C85E2A" w:rsidRPr="001F71B9" w:rsidRDefault="00C85E2A" w:rsidP="00BF3486">
            <w:pPr>
              <w:jc w:val="center"/>
              <w:rPr>
                <w:sz w:val="24"/>
                <w:szCs w:val="24"/>
              </w:rPr>
            </w:pPr>
            <w:r w:rsidRPr="001F71B9">
              <w:rPr>
                <w:sz w:val="24"/>
                <w:szCs w:val="24"/>
              </w:rPr>
              <w:t>10</w:t>
            </w:r>
          </w:p>
        </w:tc>
        <w:tc>
          <w:tcPr>
            <w:tcW w:w="2093" w:type="dxa"/>
            <w:vAlign w:val="center"/>
          </w:tcPr>
          <w:p w:rsidR="00C85E2A" w:rsidRPr="001F71B9" w:rsidRDefault="00C85E2A" w:rsidP="00BF3486">
            <w:pPr>
              <w:jc w:val="center"/>
              <w:rPr>
                <w:sz w:val="24"/>
                <w:szCs w:val="24"/>
              </w:rPr>
            </w:pPr>
            <w:r w:rsidRPr="001F71B9">
              <w:rPr>
                <w:sz w:val="24"/>
                <w:szCs w:val="24"/>
              </w:rPr>
              <w:t>Ukrayna</w:t>
            </w:r>
          </w:p>
        </w:tc>
        <w:tc>
          <w:tcPr>
            <w:tcW w:w="2093" w:type="dxa"/>
            <w:vAlign w:val="center"/>
          </w:tcPr>
          <w:p w:rsidR="00C85E2A" w:rsidRPr="001F71B9" w:rsidRDefault="00C85E2A" w:rsidP="00BF3486">
            <w:pPr>
              <w:jc w:val="center"/>
              <w:rPr>
                <w:sz w:val="24"/>
                <w:szCs w:val="24"/>
              </w:rPr>
            </w:pPr>
            <w:r w:rsidRPr="001F71B9">
              <w:rPr>
                <w:sz w:val="24"/>
                <w:szCs w:val="24"/>
              </w:rPr>
              <w:t>306,898</w:t>
            </w:r>
          </w:p>
        </w:tc>
        <w:tc>
          <w:tcPr>
            <w:tcW w:w="2094" w:type="dxa"/>
            <w:vAlign w:val="center"/>
          </w:tcPr>
          <w:p w:rsidR="00C85E2A" w:rsidRPr="001F71B9" w:rsidRDefault="00C85E2A" w:rsidP="00BF3486">
            <w:pPr>
              <w:jc w:val="center"/>
              <w:rPr>
                <w:sz w:val="24"/>
                <w:szCs w:val="24"/>
              </w:rPr>
            </w:pPr>
            <w:r w:rsidRPr="001F71B9">
              <w:rPr>
                <w:sz w:val="24"/>
                <w:szCs w:val="24"/>
              </w:rPr>
              <w:t>428,593</w:t>
            </w:r>
          </w:p>
        </w:tc>
        <w:tc>
          <w:tcPr>
            <w:tcW w:w="2094" w:type="dxa"/>
            <w:vAlign w:val="center"/>
          </w:tcPr>
          <w:p w:rsidR="00C85E2A" w:rsidRPr="001F71B9" w:rsidRDefault="00C85E2A" w:rsidP="00BF3486">
            <w:pPr>
              <w:jc w:val="center"/>
              <w:rPr>
                <w:sz w:val="24"/>
                <w:szCs w:val="24"/>
              </w:rPr>
            </w:pPr>
            <w:r w:rsidRPr="001F71B9">
              <w:rPr>
                <w:sz w:val="24"/>
                <w:szCs w:val="24"/>
              </w:rPr>
              <w:t>371,769</w:t>
            </w:r>
          </w:p>
        </w:tc>
      </w:tr>
    </w:tbl>
    <w:p w:rsidR="00C85E2A" w:rsidRDefault="00C85E2A" w:rsidP="00BF3486">
      <w:pPr>
        <w:spacing w:after="0" w:line="240" w:lineRule="auto"/>
        <w:rPr>
          <w:sz w:val="24"/>
          <w:szCs w:val="24"/>
        </w:rPr>
      </w:pPr>
      <w:r w:rsidRPr="001F71B9">
        <w:rPr>
          <w:sz w:val="24"/>
          <w:szCs w:val="24"/>
        </w:rPr>
        <w:t xml:space="preserve">Kaynak: ITC </w:t>
      </w:r>
      <w:proofErr w:type="spellStart"/>
      <w:r w:rsidRPr="001F71B9">
        <w:rPr>
          <w:sz w:val="24"/>
          <w:szCs w:val="24"/>
        </w:rPr>
        <w:t>Trademap</w:t>
      </w:r>
      <w:proofErr w:type="spellEnd"/>
    </w:p>
    <w:p w:rsidR="00BF3486" w:rsidRPr="001F71B9" w:rsidRDefault="00BF3486" w:rsidP="00BF3486">
      <w:pPr>
        <w:spacing w:after="0" w:line="240" w:lineRule="auto"/>
        <w:rPr>
          <w:sz w:val="24"/>
          <w:szCs w:val="24"/>
        </w:rPr>
      </w:pPr>
    </w:p>
    <w:p w:rsidR="00A17E9E" w:rsidRPr="001F71B9" w:rsidRDefault="00BE1168" w:rsidP="00BF3486">
      <w:pPr>
        <w:pStyle w:val="Heading2"/>
        <w:spacing w:before="0" w:line="240" w:lineRule="auto"/>
        <w:rPr>
          <w:rFonts w:asciiTheme="minorHAnsi" w:hAnsiTheme="minorHAnsi"/>
          <w:sz w:val="24"/>
          <w:szCs w:val="24"/>
        </w:rPr>
      </w:pPr>
      <w:bookmarkStart w:id="18" w:name="_Toc482353116"/>
      <w:r w:rsidRPr="001F71B9">
        <w:rPr>
          <w:rFonts w:asciiTheme="minorHAnsi" w:hAnsiTheme="minorHAnsi"/>
          <w:sz w:val="24"/>
          <w:szCs w:val="24"/>
        </w:rPr>
        <w:t xml:space="preserve">Tunus’un </w:t>
      </w:r>
      <w:r w:rsidR="00A17E9E" w:rsidRPr="001F71B9">
        <w:rPr>
          <w:rFonts w:asciiTheme="minorHAnsi" w:hAnsiTheme="minorHAnsi"/>
          <w:sz w:val="24"/>
          <w:szCs w:val="24"/>
        </w:rPr>
        <w:t>İthalatında Başlıca Ürünler (1000$)</w:t>
      </w:r>
      <w:bookmarkEnd w:id="18"/>
    </w:p>
    <w:p w:rsidR="00BE1168" w:rsidRDefault="00BE1168" w:rsidP="00BF3486">
      <w:pPr>
        <w:spacing w:after="0" w:line="240" w:lineRule="auto"/>
        <w:jc w:val="both"/>
        <w:rPr>
          <w:rFonts w:cs="Times New Roman"/>
          <w:sz w:val="24"/>
          <w:szCs w:val="24"/>
        </w:rPr>
      </w:pPr>
      <w:r w:rsidRPr="001F71B9">
        <w:rPr>
          <w:rFonts w:cs="Times New Roman"/>
          <w:sz w:val="24"/>
          <w:szCs w:val="24"/>
        </w:rPr>
        <w:t>Tunus’un ithalatında tüketim mallarının payı yaklaşık % 30 gibi yüksek bir oran tutmakta olup, bu durum endüstri açısından ülkenin kendine yeterli olmadığının göstergesidir. Hammadde ve yarı mamuller ithalatı, başta pamuk ve kumaş olmak üzere, tekstil hammaddeleri, endüstri alet ve makineleri, mineral yakıtlar gibi enerji hammaddeleri, oto yan sanayi, plastik maddeleri ve türevleri, hububat ve demir çelik gibi hammaddelerden oluşmaktadır.</w:t>
      </w:r>
    </w:p>
    <w:p w:rsidR="00BF3486" w:rsidRPr="001F71B9" w:rsidRDefault="00BF3486" w:rsidP="00BF3486">
      <w:pPr>
        <w:spacing w:after="0" w:line="240" w:lineRule="auto"/>
        <w:jc w:val="both"/>
        <w:rPr>
          <w:rFonts w:cs="Times New Roman"/>
          <w:sz w:val="24"/>
          <w:szCs w:val="24"/>
        </w:rPr>
      </w:pPr>
    </w:p>
    <w:p w:rsidR="00C85E2A" w:rsidRPr="001F71B9" w:rsidRDefault="00BE1168" w:rsidP="00BF3486">
      <w:pPr>
        <w:spacing w:after="0" w:line="240" w:lineRule="auto"/>
        <w:jc w:val="both"/>
        <w:rPr>
          <w:rFonts w:cs="Times New Roman"/>
          <w:sz w:val="24"/>
          <w:szCs w:val="24"/>
        </w:rPr>
      </w:pPr>
      <w:r w:rsidRPr="001F71B9">
        <w:rPr>
          <w:rFonts w:cs="Times New Roman"/>
          <w:sz w:val="24"/>
          <w:szCs w:val="24"/>
        </w:rPr>
        <w:t>Tunus’a tekstil hammaddesi (iplik ve kumaş) ve tekstil makineleri, hububat (Tunus’un açığı bulunmaktadır), tütün ve mamulleri, çeşitli demir-çelik ürünleri, metal eşya, otomotiv yan sanayi ürünleri, büro makineleri ve haberleşme cihazları, elektriksiz makineler, ulaşım araçları, elektrikli makineler ve cihazlar ile inşaat malzemelerinin Tunus’a ihraç edilebilecek potansiyel ürünler olduğu düşünülmektedir.</w:t>
      </w:r>
    </w:p>
    <w:p w:rsidR="00C85E2A" w:rsidRPr="001F71B9" w:rsidRDefault="00C85E2A" w:rsidP="00BF3486">
      <w:pPr>
        <w:spacing w:after="0" w:line="240" w:lineRule="auto"/>
        <w:rPr>
          <w:rFonts w:cs="Times New Roman"/>
          <w:sz w:val="24"/>
          <w:szCs w:val="24"/>
        </w:rPr>
      </w:pPr>
      <w:r w:rsidRPr="001F71B9">
        <w:rPr>
          <w:rFonts w:cs="Times New Roman"/>
          <w:sz w:val="24"/>
          <w:szCs w:val="24"/>
        </w:rPr>
        <w:br w:type="page"/>
      </w:r>
    </w:p>
    <w:p w:rsidR="00BE1168" w:rsidRPr="001F71B9" w:rsidRDefault="00BE1168" w:rsidP="00BF3486">
      <w:pPr>
        <w:spacing w:after="0" w:line="240" w:lineRule="auto"/>
        <w:jc w:val="both"/>
        <w:rPr>
          <w:rFonts w:cs="Times New Roman"/>
          <w:sz w:val="24"/>
          <w:szCs w:val="24"/>
        </w:rPr>
      </w:pPr>
    </w:p>
    <w:tbl>
      <w:tblPr>
        <w:tblStyle w:val="TableGrid"/>
        <w:tblW w:w="5214" w:type="pct"/>
        <w:tblLayout w:type="fixed"/>
        <w:tblLook w:val="04A0" w:firstRow="1" w:lastRow="0" w:firstColumn="1" w:lastColumn="0" w:noHBand="0" w:noVBand="1"/>
      </w:tblPr>
      <w:tblGrid>
        <w:gridCol w:w="770"/>
        <w:gridCol w:w="3572"/>
        <w:gridCol w:w="1336"/>
        <w:gridCol w:w="1336"/>
        <w:gridCol w:w="1336"/>
        <w:gridCol w:w="1336"/>
      </w:tblGrid>
      <w:tr w:rsidR="00BE1168" w:rsidRPr="001F71B9" w:rsidTr="00C85E2A">
        <w:trPr>
          <w:trHeight w:val="453"/>
        </w:trPr>
        <w:tc>
          <w:tcPr>
            <w:tcW w:w="770" w:type="dxa"/>
            <w:vAlign w:val="center"/>
            <w:hideMark/>
          </w:tcPr>
          <w:p w:rsidR="00BE1168" w:rsidRPr="001F71B9" w:rsidRDefault="00BE1168" w:rsidP="00BF3486">
            <w:pPr>
              <w:pStyle w:val="NoSpacing"/>
              <w:jc w:val="center"/>
              <w:rPr>
                <w:b/>
                <w:sz w:val="24"/>
                <w:szCs w:val="24"/>
              </w:rPr>
            </w:pPr>
            <w:r w:rsidRPr="001F71B9">
              <w:rPr>
                <w:b/>
                <w:sz w:val="24"/>
                <w:szCs w:val="24"/>
              </w:rPr>
              <w:t>GTİP</w:t>
            </w:r>
          </w:p>
        </w:tc>
        <w:tc>
          <w:tcPr>
            <w:tcW w:w="3572" w:type="dxa"/>
            <w:vAlign w:val="center"/>
            <w:hideMark/>
          </w:tcPr>
          <w:p w:rsidR="00BE1168" w:rsidRPr="001F71B9" w:rsidRDefault="00BE1168" w:rsidP="00BF3486">
            <w:pPr>
              <w:pStyle w:val="NoSpacing"/>
              <w:rPr>
                <w:b/>
                <w:sz w:val="24"/>
                <w:szCs w:val="24"/>
              </w:rPr>
            </w:pPr>
            <w:r w:rsidRPr="001F71B9">
              <w:rPr>
                <w:b/>
                <w:sz w:val="24"/>
                <w:szCs w:val="24"/>
              </w:rPr>
              <w:t>ÜRÜNLER</w:t>
            </w:r>
          </w:p>
        </w:tc>
        <w:tc>
          <w:tcPr>
            <w:tcW w:w="1336" w:type="dxa"/>
            <w:vAlign w:val="center"/>
            <w:hideMark/>
          </w:tcPr>
          <w:p w:rsidR="00BE1168" w:rsidRPr="001F71B9" w:rsidRDefault="00BE1168" w:rsidP="00BF3486">
            <w:pPr>
              <w:pStyle w:val="NoSpacing"/>
              <w:jc w:val="center"/>
              <w:rPr>
                <w:b/>
                <w:sz w:val="24"/>
                <w:szCs w:val="24"/>
              </w:rPr>
            </w:pPr>
          </w:p>
          <w:p w:rsidR="00BE1168" w:rsidRPr="001F71B9" w:rsidRDefault="00BE1168" w:rsidP="00BF3486">
            <w:pPr>
              <w:pStyle w:val="NoSpacing"/>
              <w:jc w:val="center"/>
              <w:rPr>
                <w:b/>
                <w:sz w:val="24"/>
                <w:szCs w:val="24"/>
              </w:rPr>
            </w:pPr>
            <w:r w:rsidRPr="001F71B9">
              <w:rPr>
                <w:b/>
                <w:sz w:val="24"/>
                <w:szCs w:val="24"/>
              </w:rPr>
              <w:t>2013</w:t>
            </w:r>
          </w:p>
          <w:p w:rsidR="00BE1168" w:rsidRPr="001F71B9" w:rsidRDefault="00BE1168" w:rsidP="00BF3486">
            <w:pPr>
              <w:pStyle w:val="NoSpacing"/>
              <w:jc w:val="center"/>
              <w:rPr>
                <w:b/>
                <w:sz w:val="24"/>
                <w:szCs w:val="24"/>
              </w:rPr>
            </w:pPr>
          </w:p>
        </w:tc>
        <w:tc>
          <w:tcPr>
            <w:tcW w:w="1336" w:type="dxa"/>
            <w:vAlign w:val="center"/>
            <w:hideMark/>
          </w:tcPr>
          <w:p w:rsidR="00BE1168" w:rsidRPr="001F71B9" w:rsidRDefault="00BE1168" w:rsidP="00BF3486">
            <w:pPr>
              <w:pStyle w:val="NoSpacing"/>
              <w:jc w:val="center"/>
              <w:rPr>
                <w:b/>
                <w:sz w:val="24"/>
                <w:szCs w:val="24"/>
              </w:rPr>
            </w:pPr>
          </w:p>
          <w:p w:rsidR="00BE1168" w:rsidRPr="001F71B9" w:rsidRDefault="00BE1168" w:rsidP="00BF3486">
            <w:pPr>
              <w:pStyle w:val="NoSpacing"/>
              <w:jc w:val="center"/>
              <w:rPr>
                <w:b/>
                <w:sz w:val="24"/>
                <w:szCs w:val="24"/>
              </w:rPr>
            </w:pPr>
            <w:r w:rsidRPr="001F71B9">
              <w:rPr>
                <w:b/>
                <w:sz w:val="24"/>
                <w:szCs w:val="24"/>
              </w:rPr>
              <w:t>2014</w:t>
            </w:r>
          </w:p>
          <w:p w:rsidR="00BE1168" w:rsidRPr="001F71B9" w:rsidRDefault="00BE1168" w:rsidP="00BF3486">
            <w:pPr>
              <w:pStyle w:val="NoSpacing"/>
              <w:jc w:val="center"/>
              <w:rPr>
                <w:b/>
                <w:sz w:val="24"/>
                <w:szCs w:val="24"/>
              </w:rPr>
            </w:pPr>
          </w:p>
        </w:tc>
        <w:tc>
          <w:tcPr>
            <w:tcW w:w="1336" w:type="dxa"/>
            <w:vAlign w:val="center"/>
            <w:hideMark/>
          </w:tcPr>
          <w:p w:rsidR="00BE1168" w:rsidRPr="001F71B9" w:rsidRDefault="00BE1168" w:rsidP="00BF3486">
            <w:pPr>
              <w:pStyle w:val="NoSpacing"/>
              <w:jc w:val="center"/>
              <w:rPr>
                <w:b/>
                <w:sz w:val="24"/>
                <w:szCs w:val="24"/>
              </w:rPr>
            </w:pPr>
          </w:p>
          <w:p w:rsidR="00BE1168" w:rsidRPr="001F71B9" w:rsidRDefault="00BE1168" w:rsidP="00BF3486">
            <w:pPr>
              <w:pStyle w:val="NoSpacing"/>
              <w:jc w:val="center"/>
              <w:rPr>
                <w:b/>
                <w:sz w:val="24"/>
                <w:szCs w:val="24"/>
              </w:rPr>
            </w:pPr>
            <w:r w:rsidRPr="001F71B9">
              <w:rPr>
                <w:b/>
                <w:sz w:val="24"/>
                <w:szCs w:val="24"/>
              </w:rPr>
              <w:t>2015*</w:t>
            </w:r>
          </w:p>
          <w:p w:rsidR="00BE1168" w:rsidRPr="001F71B9" w:rsidRDefault="00BE1168" w:rsidP="00BF3486">
            <w:pPr>
              <w:pStyle w:val="NoSpacing"/>
              <w:jc w:val="center"/>
              <w:rPr>
                <w:b/>
                <w:sz w:val="24"/>
                <w:szCs w:val="24"/>
              </w:rPr>
            </w:pPr>
          </w:p>
        </w:tc>
        <w:tc>
          <w:tcPr>
            <w:tcW w:w="1336" w:type="dxa"/>
            <w:vAlign w:val="center"/>
          </w:tcPr>
          <w:p w:rsidR="00BE1168" w:rsidRPr="001F71B9" w:rsidRDefault="00BE1168" w:rsidP="00BF3486">
            <w:pPr>
              <w:pStyle w:val="NoSpacing"/>
              <w:jc w:val="center"/>
              <w:rPr>
                <w:b/>
                <w:sz w:val="24"/>
                <w:szCs w:val="24"/>
              </w:rPr>
            </w:pPr>
            <w:r w:rsidRPr="001F71B9">
              <w:rPr>
                <w:b/>
                <w:sz w:val="24"/>
                <w:szCs w:val="24"/>
              </w:rPr>
              <w:t>2016</w:t>
            </w:r>
          </w:p>
        </w:tc>
      </w:tr>
      <w:tr w:rsidR="00BE1168" w:rsidRPr="001F71B9" w:rsidTr="00C85E2A">
        <w:trPr>
          <w:trHeight w:val="386"/>
        </w:trPr>
        <w:tc>
          <w:tcPr>
            <w:tcW w:w="770" w:type="dxa"/>
            <w:vAlign w:val="center"/>
            <w:hideMark/>
          </w:tcPr>
          <w:p w:rsidR="00BE1168" w:rsidRPr="001F71B9" w:rsidRDefault="00BE1168" w:rsidP="00BF3486">
            <w:pPr>
              <w:pStyle w:val="NoSpacing"/>
              <w:jc w:val="center"/>
              <w:rPr>
                <w:sz w:val="24"/>
                <w:szCs w:val="24"/>
              </w:rPr>
            </w:pPr>
          </w:p>
        </w:tc>
        <w:tc>
          <w:tcPr>
            <w:tcW w:w="3572" w:type="dxa"/>
            <w:vAlign w:val="center"/>
            <w:hideMark/>
          </w:tcPr>
          <w:p w:rsidR="00BE1168" w:rsidRPr="001F71B9" w:rsidRDefault="00BE1168" w:rsidP="00BF3486">
            <w:pPr>
              <w:pStyle w:val="NoSpacing"/>
              <w:rPr>
                <w:sz w:val="24"/>
                <w:szCs w:val="24"/>
              </w:rPr>
            </w:pPr>
            <w:r w:rsidRPr="001F71B9">
              <w:rPr>
                <w:b/>
                <w:bCs/>
                <w:sz w:val="24"/>
                <w:szCs w:val="24"/>
              </w:rPr>
              <w:t>TOPLAM İTHALAT</w:t>
            </w:r>
          </w:p>
        </w:tc>
        <w:tc>
          <w:tcPr>
            <w:tcW w:w="1336" w:type="dxa"/>
            <w:vAlign w:val="center"/>
            <w:hideMark/>
          </w:tcPr>
          <w:p w:rsidR="00BE1168" w:rsidRPr="001F71B9" w:rsidRDefault="00BE1168" w:rsidP="00BF3486">
            <w:pPr>
              <w:pStyle w:val="NoSpacing"/>
              <w:jc w:val="center"/>
              <w:rPr>
                <w:sz w:val="24"/>
                <w:szCs w:val="24"/>
              </w:rPr>
            </w:pPr>
            <w:r w:rsidRPr="001F71B9">
              <w:rPr>
                <w:b/>
                <w:bCs/>
                <w:sz w:val="24"/>
                <w:szCs w:val="24"/>
              </w:rPr>
              <w:t>24.266.395</w:t>
            </w:r>
          </w:p>
        </w:tc>
        <w:tc>
          <w:tcPr>
            <w:tcW w:w="1336" w:type="dxa"/>
            <w:vAlign w:val="center"/>
            <w:hideMark/>
          </w:tcPr>
          <w:p w:rsidR="00BE1168" w:rsidRPr="001F71B9" w:rsidRDefault="00BE1168" w:rsidP="00BF3486">
            <w:pPr>
              <w:pStyle w:val="NoSpacing"/>
              <w:jc w:val="center"/>
              <w:rPr>
                <w:sz w:val="24"/>
                <w:szCs w:val="24"/>
              </w:rPr>
            </w:pPr>
            <w:r w:rsidRPr="001F71B9">
              <w:rPr>
                <w:b/>
                <w:bCs/>
                <w:sz w:val="24"/>
                <w:szCs w:val="24"/>
              </w:rPr>
              <w:t>24.814.101</w:t>
            </w:r>
          </w:p>
        </w:tc>
        <w:tc>
          <w:tcPr>
            <w:tcW w:w="1336" w:type="dxa"/>
            <w:vAlign w:val="center"/>
            <w:hideMark/>
          </w:tcPr>
          <w:p w:rsidR="00BE1168" w:rsidRPr="001F71B9" w:rsidRDefault="00BE1168" w:rsidP="00BF3486">
            <w:pPr>
              <w:pStyle w:val="NoSpacing"/>
              <w:jc w:val="center"/>
              <w:rPr>
                <w:sz w:val="24"/>
                <w:szCs w:val="24"/>
              </w:rPr>
            </w:pPr>
            <w:r w:rsidRPr="001F71B9">
              <w:rPr>
                <w:b/>
                <w:bCs/>
                <w:sz w:val="24"/>
                <w:szCs w:val="24"/>
              </w:rPr>
              <w:t>16.786.826</w:t>
            </w:r>
          </w:p>
        </w:tc>
        <w:tc>
          <w:tcPr>
            <w:tcW w:w="1336" w:type="dxa"/>
            <w:vAlign w:val="center"/>
          </w:tcPr>
          <w:p w:rsidR="00BE1168" w:rsidRPr="001F71B9" w:rsidRDefault="00BE1168" w:rsidP="00BF3486">
            <w:pPr>
              <w:pStyle w:val="NoSpacing"/>
              <w:jc w:val="center"/>
              <w:rPr>
                <w:b/>
                <w:bCs/>
                <w:sz w:val="24"/>
                <w:szCs w:val="24"/>
              </w:rPr>
            </w:pPr>
            <w:r w:rsidRPr="001F71B9">
              <w:rPr>
                <w:b/>
                <w:bCs/>
                <w:sz w:val="24"/>
                <w:szCs w:val="24"/>
              </w:rPr>
              <w:t>16.796.286</w:t>
            </w:r>
          </w:p>
        </w:tc>
      </w:tr>
      <w:tr w:rsidR="00BE1168" w:rsidRPr="001F71B9" w:rsidTr="00C85E2A">
        <w:trPr>
          <w:trHeight w:val="523"/>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8703</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Binek</w:t>
            </w:r>
            <w:proofErr w:type="spellEnd"/>
            <w:r w:rsidRPr="001F71B9">
              <w:rPr>
                <w:sz w:val="24"/>
                <w:szCs w:val="24"/>
              </w:rPr>
              <w:t xml:space="preserve"> </w:t>
            </w:r>
            <w:proofErr w:type="spellStart"/>
            <w:r w:rsidRPr="001F71B9">
              <w:rPr>
                <w:sz w:val="24"/>
                <w:szCs w:val="24"/>
              </w:rPr>
              <w:t>otomobilleri</w:t>
            </w:r>
            <w:proofErr w:type="spellEnd"/>
            <w:r w:rsidRPr="001F71B9">
              <w:rPr>
                <w:sz w:val="24"/>
                <w:szCs w:val="24"/>
              </w:rPr>
              <w:t xml:space="preserve"> ve </w:t>
            </w:r>
            <w:proofErr w:type="spellStart"/>
            <w:r w:rsidRPr="001F71B9">
              <w:rPr>
                <w:sz w:val="24"/>
                <w:szCs w:val="24"/>
              </w:rPr>
              <w:t>esas</w:t>
            </w:r>
            <w:proofErr w:type="spellEnd"/>
            <w:r w:rsidRPr="001F71B9">
              <w:rPr>
                <w:sz w:val="24"/>
                <w:szCs w:val="24"/>
              </w:rPr>
              <w:t xml:space="preserve"> </w:t>
            </w:r>
            <w:proofErr w:type="spellStart"/>
            <w:r w:rsidRPr="001F71B9">
              <w:rPr>
                <w:sz w:val="24"/>
                <w:szCs w:val="24"/>
              </w:rPr>
              <w:t>itibariyle</w:t>
            </w:r>
            <w:proofErr w:type="spellEnd"/>
            <w:r w:rsidRPr="001F71B9">
              <w:rPr>
                <w:sz w:val="24"/>
                <w:szCs w:val="24"/>
              </w:rPr>
              <w:t xml:space="preserve"> </w:t>
            </w:r>
            <w:proofErr w:type="spellStart"/>
            <w:r w:rsidRPr="001F71B9">
              <w:rPr>
                <w:sz w:val="24"/>
                <w:szCs w:val="24"/>
              </w:rPr>
              <w:t>insan</w:t>
            </w:r>
            <w:proofErr w:type="spellEnd"/>
            <w:r w:rsidRPr="001F71B9">
              <w:rPr>
                <w:sz w:val="24"/>
                <w:szCs w:val="24"/>
              </w:rPr>
              <w:t xml:space="preserve"> </w:t>
            </w:r>
            <w:proofErr w:type="spellStart"/>
            <w:r w:rsidRPr="001F71B9">
              <w:rPr>
                <w:sz w:val="24"/>
                <w:szCs w:val="24"/>
              </w:rPr>
              <w:t>taşımak</w:t>
            </w:r>
            <w:proofErr w:type="spellEnd"/>
            <w:r w:rsidRPr="001F71B9">
              <w:rPr>
                <w:sz w:val="24"/>
                <w:szCs w:val="24"/>
              </w:rPr>
              <w:t xml:space="preserve"> </w:t>
            </w:r>
            <w:proofErr w:type="spellStart"/>
            <w:r w:rsidRPr="001F71B9">
              <w:rPr>
                <w:sz w:val="24"/>
                <w:szCs w:val="24"/>
              </w:rPr>
              <w:t>üzere</w:t>
            </w:r>
            <w:proofErr w:type="spellEnd"/>
            <w:r w:rsidRPr="001F71B9">
              <w:rPr>
                <w:sz w:val="24"/>
                <w:szCs w:val="24"/>
              </w:rPr>
              <w:t xml:space="preserve"> </w:t>
            </w:r>
            <w:proofErr w:type="spellStart"/>
            <w:r w:rsidRPr="001F71B9">
              <w:rPr>
                <w:sz w:val="24"/>
                <w:szCs w:val="24"/>
              </w:rPr>
              <w:t>imal</w:t>
            </w:r>
            <w:proofErr w:type="spellEnd"/>
            <w:r w:rsidRPr="001F71B9">
              <w:rPr>
                <w:sz w:val="24"/>
                <w:szCs w:val="24"/>
              </w:rPr>
              <w:t xml:space="preserve"> </w:t>
            </w:r>
            <w:proofErr w:type="spellStart"/>
            <w:r w:rsidRPr="001F71B9">
              <w:rPr>
                <w:sz w:val="24"/>
                <w:szCs w:val="24"/>
              </w:rPr>
              <w:t>edilmiş</w:t>
            </w:r>
            <w:proofErr w:type="spellEnd"/>
            <w:r w:rsidRPr="001F71B9">
              <w:rPr>
                <w:sz w:val="24"/>
                <w:szCs w:val="24"/>
              </w:rPr>
              <w:t xml:space="preserve"> </w:t>
            </w:r>
            <w:proofErr w:type="spellStart"/>
            <w:r w:rsidRPr="001F71B9">
              <w:rPr>
                <w:sz w:val="24"/>
                <w:szCs w:val="24"/>
              </w:rPr>
              <w:t>diğer</w:t>
            </w:r>
            <w:proofErr w:type="spellEnd"/>
            <w:r w:rsidRPr="001F71B9">
              <w:rPr>
                <w:sz w:val="24"/>
                <w:szCs w:val="24"/>
              </w:rPr>
              <w:t xml:space="preserve"> </w:t>
            </w:r>
            <w:proofErr w:type="spellStart"/>
            <w:r w:rsidRPr="001F71B9">
              <w:rPr>
                <w:sz w:val="24"/>
                <w:szCs w:val="24"/>
              </w:rPr>
              <w:t>motorlu</w:t>
            </w:r>
            <w:proofErr w:type="spellEnd"/>
            <w:r w:rsidRPr="001F71B9">
              <w:rPr>
                <w:sz w:val="24"/>
                <w:szCs w:val="24"/>
              </w:rPr>
              <w:t xml:space="preserve"> </w:t>
            </w:r>
            <w:proofErr w:type="spellStart"/>
            <w:r w:rsidRPr="001F71B9">
              <w:rPr>
                <w:sz w:val="24"/>
                <w:szCs w:val="24"/>
              </w:rPr>
              <w:t>taşıtlar</w:t>
            </w:r>
            <w:proofErr w:type="spellEnd"/>
            <w:r w:rsidRPr="001F71B9">
              <w:rPr>
                <w:sz w:val="24"/>
                <w:szCs w:val="24"/>
              </w:rPr>
              <w:t xml:space="preserve"> (</w:t>
            </w:r>
            <w:proofErr w:type="spellStart"/>
            <w:r w:rsidRPr="001F71B9">
              <w:rPr>
                <w:sz w:val="24"/>
                <w:szCs w:val="24"/>
              </w:rPr>
              <w:t>yarış</w:t>
            </w:r>
            <w:proofErr w:type="spellEnd"/>
            <w:r w:rsidRPr="001F71B9">
              <w:rPr>
                <w:sz w:val="24"/>
                <w:szCs w:val="24"/>
              </w:rPr>
              <w:t xml:space="preserve"> </w:t>
            </w:r>
            <w:proofErr w:type="spellStart"/>
            <w:r w:rsidRPr="001F71B9">
              <w:rPr>
                <w:sz w:val="24"/>
                <w:szCs w:val="24"/>
              </w:rPr>
              <w:t>rabaları</w:t>
            </w:r>
            <w:proofErr w:type="spellEnd"/>
            <w:r w:rsidRPr="001F71B9">
              <w:rPr>
                <w:sz w:val="24"/>
                <w:szCs w:val="24"/>
              </w:rPr>
              <w:t xml:space="preserve"> </w:t>
            </w:r>
            <w:proofErr w:type="spellStart"/>
            <w:r w:rsidRPr="001F71B9">
              <w:rPr>
                <w:sz w:val="24"/>
                <w:szCs w:val="24"/>
              </w:rPr>
              <w:t>dahil</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820.031</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811.226</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602.070</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186"/>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8536</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Gerilimi</w:t>
            </w:r>
            <w:proofErr w:type="spellEnd"/>
            <w:r w:rsidRPr="001F71B9">
              <w:rPr>
                <w:sz w:val="24"/>
                <w:szCs w:val="24"/>
              </w:rPr>
              <w:t xml:space="preserve"> 1000 </w:t>
            </w:r>
            <w:proofErr w:type="spellStart"/>
            <w:r w:rsidRPr="001F71B9">
              <w:rPr>
                <w:sz w:val="24"/>
                <w:szCs w:val="24"/>
              </w:rPr>
              <w:t>voltu</w:t>
            </w:r>
            <w:proofErr w:type="spellEnd"/>
            <w:r w:rsidRPr="001F71B9">
              <w:rPr>
                <w:sz w:val="24"/>
                <w:szCs w:val="24"/>
              </w:rPr>
              <w:t xml:space="preserve"> </w:t>
            </w:r>
            <w:proofErr w:type="spellStart"/>
            <w:r w:rsidRPr="001F71B9">
              <w:rPr>
                <w:sz w:val="24"/>
                <w:szCs w:val="24"/>
              </w:rPr>
              <w:t>geçmeyen</w:t>
            </w:r>
            <w:proofErr w:type="spellEnd"/>
            <w:r w:rsidRPr="001F71B9">
              <w:rPr>
                <w:sz w:val="24"/>
                <w:szCs w:val="24"/>
              </w:rPr>
              <w:t xml:space="preserve"> </w:t>
            </w: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devresi</w:t>
            </w:r>
            <w:proofErr w:type="spellEnd"/>
            <w:r w:rsidRPr="001F71B9">
              <w:rPr>
                <w:sz w:val="24"/>
                <w:szCs w:val="24"/>
              </w:rPr>
              <w:t xml:space="preserve"> </w:t>
            </w:r>
            <w:proofErr w:type="spellStart"/>
            <w:r w:rsidRPr="001F71B9">
              <w:rPr>
                <w:sz w:val="24"/>
                <w:szCs w:val="24"/>
              </w:rPr>
              <w:t>teçhizatı</w:t>
            </w:r>
            <w:proofErr w:type="spellEnd"/>
            <w:r w:rsidRPr="001F71B9">
              <w:rPr>
                <w:sz w:val="24"/>
                <w:szCs w:val="24"/>
              </w:rPr>
              <w:t xml:space="preserve"> (</w:t>
            </w:r>
            <w:proofErr w:type="spellStart"/>
            <w:r w:rsidRPr="001F71B9">
              <w:rPr>
                <w:sz w:val="24"/>
                <w:szCs w:val="24"/>
              </w:rPr>
              <w:t>anahtarlar</w:t>
            </w:r>
            <w:proofErr w:type="spellEnd"/>
            <w:r w:rsidRPr="001F71B9">
              <w:rPr>
                <w:sz w:val="24"/>
                <w:szCs w:val="24"/>
              </w:rPr>
              <w:t xml:space="preserve">, </w:t>
            </w:r>
            <w:proofErr w:type="spellStart"/>
            <w:r w:rsidRPr="001F71B9">
              <w:rPr>
                <w:sz w:val="24"/>
                <w:szCs w:val="24"/>
              </w:rPr>
              <w:t>röleler</w:t>
            </w:r>
            <w:proofErr w:type="spellEnd"/>
            <w:r w:rsidRPr="001F71B9">
              <w:rPr>
                <w:sz w:val="24"/>
                <w:szCs w:val="24"/>
              </w:rPr>
              <w:t xml:space="preserve">, </w:t>
            </w:r>
            <w:proofErr w:type="spellStart"/>
            <w:r w:rsidRPr="001F71B9">
              <w:rPr>
                <w:sz w:val="24"/>
                <w:szCs w:val="24"/>
              </w:rPr>
              <w:t>sigortalar</w:t>
            </w:r>
            <w:proofErr w:type="spellEnd"/>
            <w:r w:rsidRPr="001F71B9">
              <w:rPr>
                <w:sz w:val="24"/>
                <w:szCs w:val="24"/>
              </w:rPr>
              <w:t xml:space="preserve">, </w:t>
            </w:r>
            <w:proofErr w:type="spellStart"/>
            <w:r w:rsidRPr="001F71B9">
              <w:rPr>
                <w:sz w:val="24"/>
                <w:szCs w:val="24"/>
              </w:rPr>
              <w:t>fişler</w:t>
            </w:r>
            <w:proofErr w:type="spellEnd"/>
            <w:r w:rsidRPr="001F71B9">
              <w:rPr>
                <w:sz w:val="24"/>
                <w:szCs w:val="24"/>
              </w:rPr>
              <w:t xml:space="preserve">, </w:t>
            </w:r>
            <w:proofErr w:type="spellStart"/>
            <w:r w:rsidRPr="001F71B9">
              <w:rPr>
                <w:sz w:val="24"/>
                <w:szCs w:val="24"/>
              </w:rPr>
              <w:t>kutular</w:t>
            </w:r>
            <w:proofErr w:type="spellEnd"/>
            <w:r w:rsidRPr="001F71B9">
              <w:rPr>
                <w:sz w:val="24"/>
                <w:szCs w:val="24"/>
              </w:rPr>
              <w:t xml:space="preserve"> </w:t>
            </w:r>
            <w:proofErr w:type="spellStart"/>
            <w:r w:rsidRPr="001F71B9">
              <w:rPr>
                <w:sz w:val="24"/>
                <w:szCs w:val="24"/>
              </w:rPr>
              <w:t>vb</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404.054</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437.455</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437.025</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186"/>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1001</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Buğday</w:t>
            </w:r>
            <w:proofErr w:type="spellEnd"/>
            <w:r w:rsidRPr="001F71B9">
              <w:rPr>
                <w:sz w:val="24"/>
                <w:szCs w:val="24"/>
              </w:rPr>
              <w:t xml:space="preserve"> ve </w:t>
            </w:r>
            <w:proofErr w:type="spellStart"/>
            <w:r w:rsidRPr="001F71B9">
              <w:rPr>
                <w:sz w:val="24"/>
                <w:szCs w:val="24"/>
              </w:rPr>
              <w:t>mahlut</w:t>
            </w:r>
            <w:proofErr w:type="spellEnd"/>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508.878</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536.320</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399.366</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324"/>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8544</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İzole</w:t>
            </w:r>
            <w:proofErr w:type="spellEnd"/>
            <w:r w:rsidRPr="001F71B9">
              <w:rPr>
                <w:sz w:val="24"/>
                <w:szCs w:val="24"/>
              </w:rPr>
              <w:t xml:space="preserve"> </w:t>
            </w:r>
            <w:proofErr w:type="spellStart"/>
            <w:r w:rsidRPr="001F71B9">
              <w:rPr>
                <w:sz w:val="24"/>
                <w:szCs w:val="24"/>
              </w:rPr>
              <w:t>edilmiş</w:t>
            </w:r>
            <w:proofErr w:type="spellEnd"/>
            <w:r w:rsidRPr="001F71B9">
              <w:rPr>
                <w:sz w:val="24"/>
                <w:szCs w:val="24"/>
              </w:rPr>
              <w:t xml:space="preserve"> teller, </w:t>
            </w:r>
            <w:proofErr w:type="spellStart"/>
            <w:r w:rsidRPr="001F71B9">
              <w:rPr>
                <w:sz w:val="24"/>
                <w:szCs w:val="24"/>
              </w:rPr>
              <w:t>kablolar</w:t>
            </w:r>
            <w:proofErr w:type="spellEnd"/>
            <w:r w:rsidRPr="001F71B9">
              <w:rPr>
                <w:sz w:val="24"/>
                <w:szCs w:val="24"/>
              </w:rPr>
              <w:t xml:space="preserve"> ve </w:t>
            </w:r>
            <w:proofErr w:type="spellStart"/>
            <w:r w:rsidRPr="001F71B9">
              <w:rPr>
                <w:sz w:val="24"/>
                <w:szCs w:val="24"/>
              </w:rPr>
              <w:t>diğer</w:t>
            </w:r>
            <w:proofErr w:type="spellEnd"/>
            <w:r w:rsidRPr="001F71B9">
              <w:rPr>
                <w:sz w:val="24"/>
                <w:szCs w:val="24"/>
              </w:rPr>
              <w:t xml:space="preserve"> </w:t>
            </w: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iletkenler</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kaplanmış</w:t>
            </w:r>
            <w:proofErr w:type="spellEnd"/>
            <w:r w:rsidRPr="001F71B9">
              <w:rPr>
                <w:sz w:val="24"/>
                <w:szCs w:val="24"/>
              </w:rPr>
              <w:t xml:space="preserve"> </w:t>
            </w:r>
            <w:proofErr w:type="spellStart"/>
            <w:r w:rsidRPr="001F71B9">
              <w:rPr>
                <w:sz w:val="24"/>
                <w:szCs w:val="24"/>
              </w:rPr>
              <w:t>liflerden</w:t>
            </w:r>
            <w:proofErr w:type="spellEnd"/>
            <w:r w:rsidRPr="001F71B9">
              <w:rPr>
                <w:sz w:val="24"/>
                <w:szCs w:val="24"/>
              </w:rPr>
              <w:t xml:space="preserve"> </w:t>
            </w:r>
            <w:proofErr w:type="spellStart"/>
            <w:r w:rsidRPr="001F71B9">
              <w:rPr>
                <w:sz w:val="24"/>
                <w:szCs w:val="24"/>
              </w:rPr>
              <w:t>oluşan</w:t>
            </w:r>
            <w:proofErr w:type="spellEnd"/>
            <w:r w:rsidRPr="001F71B9">
              <w:rPr>
                <w:sz w:val="24"/>
                <w:szCs w:val="24"/>
              </w:rPr>
              <w:t xml:space="preserve"> fiber </w:t>
            </w:r>
            <w:proofErr w:type="spellStart"/>
            <w:r w:rsidRPr="001F71B9">
              <w:rPr>
                <w:sz w:val="24"/>
                <w:szCs w:val="24"/>
              </w:rPr>
              <w:t>optik</w:t>
            </w:r>
            <w:proofErr w:type="spellEnd"/>
            <w:r w:rsidRPr="001F71B9">
              <w:rPr>
                <w:sz w:val="24"/>
                <w:szCs w:val="24"/>
              </w:rPr>
              <w:t xml:space="preserve"> </w:t>
            </w:r>
            <w:proofErr w:type="spellStart"/>
            <w:r w:rsidRPr="001F71B9">
              <w:rPr>
                <w:sz w:val="24"/>
                <w:szCs w:val="24"/>
              </w:rPr>
              <w:t>kablolar</w:t>
            </w:r>
            <w:proofErr w:type="spellEnd"/>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366.513</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368.895</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357.068</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186"/>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8542</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Elektronik</w:t>
            </w:r>
            <w:proofErr w:type="spellEnd"/>
            <w:r w:rsidRPr="001F71B9">
              <w:rPr>
                <w:sz w:val="24"/>
                <w:szCs w:val="24"/>
              </w:rPr>
              <w:t xml:space="preserve"> </w:t>
            </w:r>
            <w:proofErr w:type="spellStart"/>
            <w:r w:rsidRPr="001F71B9">
              <w:rPr>
                <w:sz w:val="24"/>
                <w:szCs w:val="24"/>
              </w:rPr>
              <w:t>entegre</w:t>
            </w:r>
            <w:proofErr w:type="spellEnd"/>
            <w:r w:rsidRPr="001F71B9">
              <w:rPr>
                <w:sz w:val="24"/>
                <w:szCs w:val="24"/>
              </w:rPr>
              <w:t xml:space="preserve"> </w:t>
            </w:r>
            <w:proofErr w:type="spellStart"/>
            <w:r w:rsidRPr="001F71B9">
              <w:rPr>
                <w:sz w:val="24"/>
                <w:szCs w:val="24"/>
              </w:rPr>
              <w:t>devreler</w:t>
            </w:r>
            <w:proofErr w:type="spellEnd"/>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280.638</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259.427</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325.885</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186"/>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3004</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Tedavide</w:t>
            </w:r>
            <w:proofErr w:type="spellEnd"/>
            <w:r w:rsidRPr="001F71B9">
              <w:rPr>
                <w:sz w:val="24"/>
                <w:szCs w:val="24"/>
              </w:rPr>
              <w:t xml:space="preserve">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korunmada</w:t>
            </w:r>
            <w:proofErr w:type="spellEnd"/>
            <w:r w:rsidRPr="001F71B9">
              <w:rPr>
                <w:sz w:val="24"/>
                <w:szCs w:val="24"/>
              </w:rPr>
              <w:t xml:space="preserve"> </w:t>
            </w:r>
            <w:proofErr w:type="spellStart"/>
            <w:r w:rsidRPr="001F71B9">
              <w:rPr>
                <w:sz w:val="24"/>
                <w:szCs w:val="24"/>
              </w:rPr>
              <w:t>kullanılmak</w:t>
            </w:r>
            <w:proofErr w:type="spellEnd"/>
            <w:r w:rsidRPr="001F71B9">
              <w:rPr>
                <w:sz w:val="24"/>
                <w:szCs w:val="24"/>
              </w:rPr>
              <w:t xml:space="preserve"> </w:t>
            </w:r>
            <w:proofErr w:type="spellStart"/>
            <w:r w:rsidRPr="001F71B9">
              <w:rPr>
                <w:sz w:val="24"/>
                <w:szCs w:val="24"/>
              </w:rPr>
              <w:t>üzere</w:t>
            </w:r>
            <w:proofErr w:type="spellEnd"/>
            <w:r w:rsidRPr="001F71B9">
              <w:rPr>
                <w:sz w:val="24"/>
                <w:szCs w:val="24"/>
              </w:rPr>
              <w:t xml:space="preserve"> </w:t>
            </w:r>
            <w:proofErr w:type="spellStart"/>
            <w:r w:rsidRPr="001F71B9">
              <w:rPr>
                <w:sz w:val="24"/>
                <w:szCs w:val="24"/>
              </w:rPr>
              <w:t>hazırlanan</w:t>
            </w:r>
            <w:proofErr w:type="spellEnd"/>
            <w:r w:rsidRPr="001F71B9">
              <w:rPr>
                <w:sz w:val="24"/>
                <w:szCs w:val="24"/>
              </w:rPr>
              <w:t xml:space="preserve"> </w:t>
            </w:r>
            <w:proofErr w:type="spellStart"/>
            <w:r w:rsidRPr="001F71B9">
              <w:rPr>
                <w:sz w:val="24"/>
                <w:szCs w:val="24"/>
              </w:rPr>
              <w:t>ilaçlar</w:t>
            </w:r>
            <w:proofErr w:type="spellEnd"/>
            <w:r w:rsidRPr="001F71B9">
              <w:rPr>
                <w:sz w:val="24"/>
                <w:szCs w:val="24"/>
              </w:rPr>
              <w:t xml:space="preserve"> (</w:t>
            </w:r>
            <w:proofErr w:type="spellStart"/>
            <w:r w:rsidRPr="001F71B9">
              <w:rPr>
                <w:sz w:val="24"/>
                <w:szCs w:val="24"/>
              </w:rPr>
              <w:t>dozlandırılmış</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297.989</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277.821</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308.964</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324"/>
        </w:trPr>
        <w:tc>
          <w:tcPr>
            <w:tcW w:w="770" w:type="dxa"/>
            <w:vAlign w:val="center"/>
            <w:hideMark/>
          </w:tcPr>
          <w:p w:rsidR="00BE1168" w:rsidRPr="001F71B9" w:rsidRDefault="00BE1168" w:rsidP="00BF3486">
            <w:pPr>
              <w:pStyle w:val="NoSpacing"/>
              <w:jc w:val="center"/>
              <w:rPr>
                <w:sz w:val="24"/>
                <w:szCs w:val="24"/>
              </w:rPr>
            </w:pPr>
            <w:r w:rsidRPr="001F71B9">
              <w:rPr>
                <w:sz w:val="24"/>
                <w:szCs w:val="24"/>
              </w:rPr>
              <w:t>8802</w:t>
            </w:r>
          </w:p>
        </w:tc>
        <w:tc>
          <w:tcPr>
            <w:tcW w:w="3572" w:type="dxa"/>
            <w:vAlign w:val="center"/>
            <w:hideMark/>
          </w:tcPr>
          <w:p w:rsidR="00BE1168" w:rsidRPr="001F71B9" w:rsidRDefault="00BE1168" w:rsidP="00BF3486">
            <w:pPr>
              <w:pStyle w:val="NoSpacing"/>
              <w:rPr>
                <w:sz w:val="24"/>
                <w:szCs w:val="24"/>
              </w:rPr>
            </w:pPr>
            <w:proofErr w:type="spellStart"/>
            <w:r w:rsidRPr="001F71B9">
              <w:rPr>
                <w:sz w:val="24"/>
                <w:szCs w:val="24"/>
              </w:rPr>
              <w:t>Helikopterler</w:t>
            </w:r>
            <w:proofErr w:type="spellEnd"/>
            <w:r w:rsidRPr="001F71B9">
              <w:rPr>
                <w:sz w:val="24"/>
                <w:szCs w:val="24"/>
              </w:rPr>
              <w:t xml:space="preserve">, </w:t>
            </w:r>
            <w:proofErr w:type="spellStart"/>
            <w:r w:rsidRPr="001F71B9">
              <w:rPr>
                <w:sz w:val="24"/>
                <w:szCs w:val="24"/>
              </w:rPr>
              <w:t>uçaklar</w:t>
            </w:r>
            <w:proofErr w:type="spellEnd"/>
            <w:r w:rsidRPr="001F71B9">
              <w:rPr>
                <w:sz w:val="24"/>
                <w:szCs w:val="24"/>
              </w:rPr>
              <w:t xml:space="preserve"> </w:t>
            </w:r>
            <w:proofErr w:type="spellStart"/>
            <w:r w:rsidRPr="001F71B9">
              <w:rPr>
                <w:sz w:val="24"/>
                <w:szCs w:val="24"/>
              </w:rPr>
              <w:t>vb</w:t>
            </w:r>
            <w:proofErr w:type="spellEnd"/>
            <w:r w:rsidRPr="001F71B9">
              <w:rPr>
                <w:sz w:val="24"/>
                <w:szCs w:val="24"/>
              </w:rPr>
              <w:t xml:space="preserve">; </w:t>
            </w:r>
            <w:proofErr w:type="spellStart"/>
            <w:r w:rsidRPr="001F71B9">
              <w:rPr>
                <w:sz w:val="24"/>
                <w:szCs w:val="24"/>
              </w:rPr>
              <w:t>uzay</w:t>
            </w:r>
            <w:proofErr w:type="spellEnd"/>
            <w:r w:rsidRPr="001F71B9">
              <w:rPr>
                <w:sz w:val="24"/>
                <w:szCs w:val="24"/>
              </w:rPr>
              <w:t xml:space="preserve"> </w:t>
            </w:r>
            <w:proofErr w:type="spellStart"/>
            <w:r w:rsidRPr="001F71B9">
              <w:rPr>
                <w:sz w:val="24"/>
                <w:szCs w:val="24"/>
              </w:rPr>
              <w:t>araçları</w:t>
            </w:r>
            <w:proofErr w:type="spellEnd"/>
            <w:r w:rsidRPr="001F71B9">
              <w:rPr>
                <w:sz w:val="24"/>
                <w:szCs w:val="24"/>
              </w:rPr>
              <w:t xml:space="preserve"> (</w:t>
            </w:r>
            <w:proofErr w:type="spellStart"/>
            <w:r w:rsidRPr="001F71B9">
              <w:rPr>
                <w:sz w:val="24"/>
                <w:szCs w:val="24"/>
              </w:rPr>
              <w:t>uydular</w:t>
            </w:r>
            <w:proofErr w:type="spellEnd"/>
            <w:r w:rsidRPr="001F71B9">
              <w:rPr>
                <w:sz w:val="24"/>
                <w:szCs w:val="24"/>
              </w:rPr>
              <w:t xml:space="preserve"> </w:t>
            </w:r>
            <w:proofErr w:type="spellStart"/>
            <w:r w:rsidRPr="001F71B9">
              <w:rPr>
                <w:sz w:val="24"/>
                <w:szCs w:val="24"/>
              </w:rPr>
              <w:t>dahil</w:t>
            </w:r>
            <w:proofErr w:type="spellEnd"/>
            <w:r w:rsidRPr="001F71B9">
              <w:rPr>
                <w:sz w:val="24"/>
                <w:szCs w:val="24"/>
              </w:rPr>
              <w:t xml:space="preserve">), </w:t>
            </w:r>
            <w:proofErr w:type="spellStart"/>
            <w:r w:rsidRPr="001F71B9">
              <w:rPr>
                <w:sz w:val="24"/>
                <w:szCs w:val="24"/>
              </w:rPr>
              <w:t>uzay</w:t>
            </w:r>
            <w:proofErr w:type="spellEnd"/>
            <w:r w:rsidRPr="001F71B9">
              <w:rPr>
                <w:sz w:val="24"/>
                <w:szCs w:val="24"/>
              </w:rPr>
              <w:t xml:space="preserve"> </w:t>
            </w:r>
            <w:proofErr w:type="spellStart"/>
            <w:r w:rsidRPr="001F71B9">
              <w:rPr>
                <w:sz w:val="24"/>
                <w:szCs w:val="24"/>
              </w:rPr>
              <w:t>araçlarını</w:t>
            </w:r>
            <w:proofErr w:type="spellEnd"/>
            <w:r w:rsidRPr="001F71B9">
              <w:rPr>
                <w:sz w:val="24"/>
                <w:szCs w:val="24"/>
              </w:rPr>
              <w:t xml:space="preserve"> </w:t>
            </w:r>
            <w:proofErr w:type="spellStart"/>
            <w:r w:rsidRPr="001F71B9">
              <w:rPr>
                <w:sz w:val="24"/>
                <w:szCs w:val="24"/>
              </w:rPr>
              <w:t>fırlatıcı</w:t>
            </w:r>
            <w:proofErr w:type="spellEnd"/>
            <w:r w:rsidRPr="001F71B9">
              <w:rPr>
                <w:sz w:val="24"/>
                <w:szCs w:val="24"/>
              </w:rPr>
              <w:t xml:space="preserve"> </w:t>
            </w:r>
            <w:proofErr w:type="spellStart"/>
            <w:r w:rsidRPr="001F71B9">
              <w:rPr>
                <w:sz w:val="24"/>
                <w:szCs w:val="24"/>
              </w:rPr>
              <w:t>araçlar</w:t>
            </w:r>
            <w:proofErr w:type="spellEnd"/>
            <w:r w:rsidRPr="001F71B9">
              <w:rPr>
                <w:sz w:val="24"/>
                <w:szCs w:val="24"/>
              </w:rPr>
              <w:t xml:space="preserve"> ve </w:t>
            </w:r>
            <w:proofErr w:type="spellStart"/>
            <w:r w:rsidRPr="001F71B9">
              <w:rPr>
                <w:sz w:val="24"/>
                <w:szCs w:val="24"/>
              </w:rPr>
              <w:t>yörünge-altı</w:t>
            </w:r>
            <w:proofErr w:type="spellEnd"/>
            <w:r w:rsidRPr="001F71B9">
              <w:rPr>
                <w:sz w:val="24"/>
                <w:szCs w:val="24"/>
              </w:rPr>
              <w:t xml:space="preserve"> </w:t>
            </w:r>
            <w:proofErr w:type="spellStart"/>
            <w:r w:rsidRPr="001F71B9">
              <w:rPr>
                <w:sz w:val="24"/>
                <w:szCs w:val="24"/>
              </w:rPr>
              <w:t>araçları</w:t>
            </w:r>
            <w:proofErr w:type="spellEnd"/>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146.197</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99.427</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281.276</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bl>
    <w:p w:rsidR="00BE1168" w:rsidRDefault="00BE1168" w:rsidP="00BF3486">
      <w:pPr>
        <w:pStyle w:val="Quote"/>
        <w:spacing w:after="0" w:line="240" w:lineRule="auto"/>
        <w:rPr>
          <w:sz w:val="24"/>
          <w:szCs w:val="24"/>
        </w:rPr>
      </w:pPr>
      <w:r w:rsidRPr="001F71B9">
        <w:rPr>
          <w:sz w:val="24"/>
          <w:szCs w:val="24"/>
        </w:rPr>
        <w:t xml:space="preserve">Kaynak: ITC Trademap, (*) Yansıtılmış veriler. </w:t>
      </w:r>
    </w:p>
    <w:p w:rsidR="00BF3486" w:rsidRPr="00BF3486" w:rsidRDefault="00BF3486" w:rsidP="00BF3486"/>
    <w:p w:rsidR="00C85E2A" w:rsidRPr="001F71B9" w:rsidRDefault="00A17E9E" w:rsidP="00BF3486">
      <w:pPr>
        <w:pStyle w:val="Heading2"/>
        <w:spacing w:before="0" w:line="240" w:lineRule="auto"/>
        <w:rPr>
          <w:rFonts w:asciiTheme="minorHAnsi" w:hAnsiTheme="minorHAnsi"/>
          <w:sz w:val="24"/>
          <w:szCs w:val="24"/>
        </w:rPr>
      </w:pPr>
      <w:bookmarkStart w:id="19" w:name="_Toc482353117"/>
      <w:r w:rsidRPr="001F71B9">
        <w:rPr>
          <w:rFonts w:asciiTheme="minorHAnsi" w:hAnsiTheme="minorHAnsi"/>
          <w:sz w:val="24"/>
          <w:szCs w:val="24"/>
        </w:rPr>
        <w:t>İhracat yaptığı başlıca ülkeler (1000$)</w:t>
      </w:r>
      <w:bookmarkEnd w:id="19"/>
    </w:p>
    <w:tbl>
      <w:tblPr>
        <w:tblStyle w:val="TableGrid"/>
        <w:tblW w:w="0" w:type="auto"/>
        <w:tblLook w:val="04A0" w:firstRow="1" w:lastRow="0" w:firstColumn="1" w:lastColumn="0" w:noHBand="0" w:noVBand="1"/>
      </w:tblPr>
      <w:tblGrid>
        <w:gridCol w:w="921"/>
        <w:gridCol w:w="1977"/>
        <w:gridCol w:w="2076"/>
        <w:gridCol w:w="2077"/>
        <w:gridCol w:w="2077"/>
      </w:tblGrid>
      <w:tr w:rsidR="00C85E2A" w:rsidRPr="001F71B9" w:rsidTr="00C85E2A">
        <w:trPr>
          <w:trHeight w:val="244"/>
        </w:trPr>
        <w:tc>
          <w:tcPr>
            <w:tcW w:w="921" w:type="dxa"/>
            <w:vAlign w:val="center"/>
          </w:tcPr>
          <w:p w:rsidR="00C85E2A" w:rsidRPr="001F71B9" w:rsidRDefault="00C85E2A" w:rsidP="00BF3486">
            <w:pPr>
              <w:jc w:val="center"/>
              <w:rPr>
                <w:b/>
                <w:sz w:val="24"/>
                <w:szCs w:val="24"/>
              </w:rPr>
            </w:pPr>
            <w:r w:rsidRPr="001F71B9">
              <w:rPr>
                <w:b/>
                <w:sz w:val="24"/>
                <w:szCs w:val="24"/>
              </w:rPr>
              <w:t>SIRA</w:t>
            </w:r>
          </w:p>
        </w:tc>
        <w:tc>
          <w:tcPr>
            <w:tcW w:w="1977" w:type="dxa"/>
            <w:vAlign w:val="center"/>
          </w:tcPr>
          <w:p w:rsidR="00C85E2A" w:rsidRPr="001F71B9" w:rsidRDefault="00C85E2A" w:rsidP="00BF3486">
            <w:pPr>
              <w:jc w:val="center"/>
              <w:rPr>
                <w:b/>
                <w:sz w:val="24"/>
                <w:szCs w:val="24"/>
              </w:rPr>
            </w:pPr>
            <w:r w:rsidRPr="001F71B9">
              <w:rPr>
                <w:b/>
                <w:sz w:val="24"/>
                <w:szCs w:val="24"/>
              </w:rPr>
              <w:t>ÜLKE</w:t>
            </w:r>
          </w:p>
        </w:tc>
        <w:tc>
          <w:tcPr>
            <w:tcW w:w="2076" w:type="dxa"/>
            <w:vAlign w:val="center"/>
          </w:tcPr>
          <w:p w:rsidR="00C85E2A" w:rsidRPr="001F71B9" w:rsidRDefault="00C85E2A" w:rsidP="00BF3486">
            <w:pPr>
              <w:jc w:val="center"/>
              <w:rPr>
                <w:b/>
                <w:sz w:val="24"/>
                <w:szCs w:val="24"/>
              </w:rPr>
            </w:pPr>
            <w:r w:rsidRPr="001F71B9">
              <w:rPr>
                <w:b/>
                <w:sz w:val="24"/>
                <w:szCs w:val="24"/>
              </w:rPr>
              <w:t>2013</w:t>
            </w:r>
          </w:p>
        </w:tc>
        <w:tc>
          <w:tcPr>
            <w:tcW w:w="2077" w:type="dxa"/>
            <w:vAlign w:val="center"/>
          </w:tcPr>
          <w:p w:rsidR="00C85E2A" w:rsidRPr="001F71B9" w:rsidRDefault="00C85E2A" w:rsidP="00BF3486">
            <w:pPr>
              <w:jc w:val="center"/>
              <w:rPr>
                <w:b/>
                <w:sz w:val="24"/>
                <w:szCs w:val="24"/>
              </w:rPr>
            </w:pPr>
            <w:r w:rsidRPr="001F71B9">
              <w:rPr>
                <w:b/>
                <w:sz w:val="24"/>
                <w:szCs w:val="24"/>
              </w:rPr>
              <w:t>2014</w:t>
            </w:r>
          </w:p>
        </w:tc>
        <w:tc>
          <w:tcPr>
            <w:tcW w:w="2077" w:type="dxa"/>
            <w:vAlign w:val="center"/>
          </w:tcPr>
          <w:p w:rsidR="00C85E2A" w:rsidRPr="001F71B9" w:rsidRDefault="00C85E2A" w:rsidP="00BF3486">
            <w:pPr>
              <w:jc w:val="center"/>
              <w:rPr>
                <w:b/>
                <w:sz w:val="24"/>
                <w:szCs w:val="24"/>
              </w:rPr>
            </w:pPr>
            <w:r w:rsidRPr="001F71B9">
              <w:rPr>
                <w:b/>
                <w:sz w:val="24"/>
                <w:szCs w:val="24"/>
              </w:rPr>
              <w:t>2015</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1</w:t>
            </w:r>
          </w:p>
        </w:tc>
        <w:tc>
          <w:tcPr>
            <w:tcW w:w="1977" w:type="dxa"/>
            <w:vAlign w:val="center"/>
          </w:tcPr>
          <w:p w:rsidR="00C85E2A" w:rsidRPr="001F71B9" w:rsidRDefault="00C85E2A" w:rsidP="00BF3486">
            <w:pPr>
              <w:jc w:val="center"/>
              <w:rPr>
                <w:sz w:val="24"/>
                <w:szCs w:val="24"/>
              </w:rPr>
            </w:pPr>
            <w:r w:rsidRPr="001F71B9">
              <w:rPr>
                <w:sz w:val="24"/>
                <w:szCs w:val="24"/>
              </w:rPr>
              <w:t>Fransa</w:t>
            </w:r>
          </w:p>
        </w:tc>
        <w:tc>
          <w:tcPr>
            <w:tcW w:w="2076" w:type="dxa"/>
            <w:vAlign w:val="center"/>
          </w:tcPr>
          <w:p w:rsidR="00C85E2A" w:rsidRPr="001F71B9" w:rsidRDefault="00C85E2A" w:rsidP="00BF3486">
            <w:pPr>
              <w:jc w:val="center"/>
              <w:rPr>
                <w:sz w:val="24"/>
                <w:szCs w:val="24"/>
              </w:rPr>
            </w:pPr>
            <w:r w:rsidRPr="001F71B9">
              <w:rPr>
                <w:sz w:val="24"/>
                <w:szCs w:val="24"/>
              </w:rPr>
              <w:t>4,502,924</w:t>
            </w:r>
          </w:p>
        </w:tc>
        <w:tc>
          <w:tcPr>
            <w:tcW w:w="2077" w:type="dxa"/>
            <w:vAlign w:val="center"/>
          </w:tcPr>
          <w:p w:rsidR="00C85E2A" w:rsidRPr="001F71B9" w:rsidRDefault="00C85E2A" w:rsidP="00BF3486">
            <w:pPr>
              <w:jc w:val="center"/>
              <w:rPr>
                <w:sz w:val="24"/>
                <w:szCs w:val="24"/>
              </w:rPr>
            </w:pPr>
            <w:r w:rsidRPr="001F71B9">
              <w:rPr>
                <w:sz w:val="24"/>
                <w:szCs w:val="24"/>
              </w:rPr>
              <w:t>4,753,371</w:t>
            </w:r>
          </w:p>
        </w:tc>
        <w:tc>
          <w:tcPr>
            <w:tcW w:w="2077" w:type="dxa"/>
            <w:vAlign w:val="center"/>
          </w:tcPr>
          <w:p w:rsidR="00C85E2A" w:rsidRPr="001F71B9" w:rsidRDefault="00C85E2A" w:rsidP="00BF3486">
            <w:pPr>
              <w:jc w:val="center"/>
              <w:rPr>
                <w:sz w:val="24"/>
                <w:szCs w:val="24"/>
              </w:rPr>
            </w:pPr>
            <w:r w:rsidRPr="001F71B9">
              <w:rPr>
                <w:sz w:val="24"/>
                <w:szCs w:val="24"/>
              </w:rPr>
              <w:t>4,126,877</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2</w:t>
            </w:r>
          </w:p>
        </w:tc>
        <w:tc>
          <w:tcPr>
            <w:tcW w:w="1977" w:type="dxa"/>
            <w:vAlign w:val="center"/>
          </w:tcPr>
          <w:p w:rsidR="00C85E2A" w:rsidRPr="001F71B9" w:rsidRDefault="00C85E2A" w:rsidP="00BF3486">
            <w:pPr>
              <w:jc w:val="center"/>
              <w:rPr>
                <w:sz w:val="24"/>
                <w:szCs w:val="24"/>
              </w:rPr>
            </w:pPr>
            <w:r w:rsidRPr="001F71B9">
              <w:rPr>
                <w:sz w:val="24"/>
                <w:szCs w:val="24"/>
              </w:rPr>
              <w:t>İtalya</w:t>
            </w:r>
          </w:p>
        </w:tc>
        <w:tc>
          <w:tcPr>
            <w:tcW w:w="2076" w:type="dxa"/>
            <w:vAlign w:val="center"/>
          </w:tcPr>
          <w:p w:rsidR="00C85E2A" w:rsidRPr="001F71B9" w:rsidRDefault="00C85E2A" w:rsidP="00BF3486">
            <w:pPr>
              <w:jc w:val="center"/>
              <w:rPr>
                <w:sz w:val="24"/>
                <w:szCs w:val="24"/>
              </w:rPr>
            </w:pPr>
            <w:r w:rsidRPr="001F71B9">
              <w:rPr>
                <w:sz w:val="24"/>
                <w:szCs w:val="24"/>
              </w:rPr>
              <w:t>3,151,270</w:t>
            </w:r>
          </w:p>
        </w:tc>
        <w:tc>
          <w:tcPr>
            <w:tcW w:w="2077" w:type="dxa"/>
            <w:vAlign w:val="center"/>
          </w:tcPr>
          <w:p w:rsidR="00C85E2A" w:rsidRPr="001F71B9" w:rsidRDefault="00C85E2A" w:rsidP="00BF3486">
            <w:pPr>
              <w:jc w:val="center"/>
              <w:rPr>
                <w:sz w:val="24"/>
                <w:szCs w:val="24"/>
              </w:rPr>
            </w:pPr>
            <w:r w:rsidRPr="001F71B9">
              <w:rPr>
                <w:sz w:val="24"/>
                <w:szCs w:val="24"/>
              </w:rPr>
              <w:t>3,204,866</w:t>
            </w:r>
          </w:p>
        </w:tc>
        <w:tc>
          <w:tcPr>
            <w:tcW w:w="2077" w:type="dxa"/>
            <w:vAlign w:val="center"/>
          </w:tcPr>
          <w:p w:rsidR="00C85E2A" w:rsidRPr="001F71B9" w:rsidRDefault="00C85E2A" w:rsidP="00BF3486">
            <w:pPr>
              <w:jc w:val="center"/>
              <w:rPr>
                <w:sz w:val="24"/>
                <w:szCs w:val="24"/>
              </w:rPr>
            </w:pPr>
            <w:r w:rsidRPr="001F71B9">
              <w:rPr>
                <w:sz w:val="24"/>
                <w:szCs w:val="24"/>
              </w:rPr>
              <w:t>2,596,582</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3</w:t>
            </w:r>
          </w:p>
        </w:tc>
        <w:tc>
          <w:tcPr>
            <w:tcW w:w="1977" w:type="dxa"/>
            <w:vAlign w:val="center"/>
          </w:tcPr>
          <w:p w:rsidR="00C85E2A" w:rsidRPr="001F71B9" w:rsidRDefault="00C85E2A" w:rsidP="00BF3486">
            <w:pPr>
              <w:jc w:val="center"/>
              <w:rPr>
                <w:sz w:val="24"/>
                <w:szCs w:val="24"/>
              </w:rPr>
            </w:pPr>
            <w:r w:rsidRPr="001F71B9">
              <w:rPr>
                <w:sz w:val="24"/>
                <w:szCs w:val="24"/>
              </w:rPr>
              <w:t>Almanya</w:t>
            </w:r>
          </w:p>
        </w:tc>
        <w:tc>
          <w:tcPr>
            <w:tcW w:w="2076" w:type="dxa"/>
            <w:vAlign w:val="center"/>
          </w:tcPr>
          <w:p w:rsidR="00C85E2A" w:rsidRPr="001F71B9" w:rsidRDefault="00C85E2A" w:rsidP="00BF3486">
            <w:pPr>
              <w:jc w:val="center"/>
              <w:rPr>
                <w:sz w:val="24"/>
                <w:szCs w:val="24"/>
              </w:rPr>
            </w:pPr>
            <w:r w:rsidRPr="001F71B9">
              <w:rPr>
                <w:sz w:val="24"/>
                <w:szCs w:val="24"/>
              </w:rPr>
              <w:t>1,533,390</w:t>
            </w:r>
          </w:p>
        </w:tc>
        <w:tc>
          <w:tcPr>
            <w:tcW w:w="2077" w:type="dxa"/>
            <w:vAlign w:val="center"/>
          </w:tcPr>
          <w:p w:rsidR="00C85E2A" w:rsidRPr="001F71B9" w:rsidRDefault="00C85E2A" w:rsidP="00BF3486">
            <w:pPr>
              <w:jc w:val="center"/>
              <w:rPr>
                <w:sz w:val="24"/>
                <w:szCs w:val="24"/>
              </w:rPr>
            </w:pPr>
            <w:r w:rsidRPr="001F71B9">
              <w:rPr>
                <w:sz w:val="24"/>
                <w:szCs w:val="24"/>
              </w:rPr>
              <w:t>1,710,359</w:t>
            </w:r>
          </w:p>
        </w:tc>
        <w:tc>
          <w:tcPr>
            <w:tcW w:w="2077" w:type="dxa"/>
            <w:vAlign w:val="center"/>
          </w:tcPr>
          <w:p w:rsidR="00C85E2A" w:rsidRPr="001F71B9" w:rsidRDefault="00C85E2A" w:rsidP="00BF3486">
            <w:pPr>
              <w:jc w:val="center"/>
              <w:rPr>
                <w:sz w:val="24"/>
                <w:szCs w:val="24"/>
              </w:rPr>
            </w:pPr>
            <w:r w:rsidRPr="001F71B9">
              <w:rPr>
                <w:sz w:val="24"/>
                <w:szCs w:val="24"/>
              </w:rPr>
              <w:t>1,476,872</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4</w:t>
            </w:r>
          </w:p>
        </w:tc>
        <w:tc>
          <w:tcPr>
            <w:tcW w:w="1977" w:type="dxa"/>
            <w:vAlign w:val="center"/>
          </w:tcPr>
          <w:p w:rsidR="00C85E2A" w:rsidRPr="001F71B9" w:rsidRDefault="00C85E2A" w:rsidP="00BF3486">
            <w:pPr>
              <w:jc w:val="center"/>
              <w:rPr>
                <w:sz w:val="24"/>
                <w:szCs w:val="24"/>
              </w:rPr>
            </w:pPr>
            <w:r w:rsidRPr="001F71B9">
              <w:rPr>
                <w:sz w:val="24"/>
                <w:szCs w:val="24"/>
              </w:rPr>
              <w:t>İspanya</w:t>
            </w:r>
          </w:p>
        </w:tc>
        <w:tc>
          <w:tcPr>
            <w:tcW w:w="2076" w:type="dxa"/>
            <w:vAlign w:val="center"/>
          </w:tcPr>
          <w:p w:rsidR="00C85E2A" w:rsidRPr="001F71B9" w:rsidRDefault="00C85E2A" w:rsidP="00BF3486">
            <w:pPr>
              <w:jc w:val="center"/>
              <w:rPr>
                <w:sz w:val="24"/>
                <w:szCs w:val="24"/>
              </w:rPr>
            </w:pPr>
            <w:r w:rsidRPr="001F71B9">
              <w:rPr>
                <w:sz w:val="24"/>
                <w:szCs w:val="24"/>
              </w:rPr>
              <w:t>803,247</w:t>
            </w:r>
          </w:p>
        </w:tc>
        <w:tc>
          <w:tcPr>
            <w:tcW w:w="2077" w:type="dxa"/>
            <w:vAlign w:val="center"/>
          </w:tcPr>
          <w:p w:rsidR="00C85E2A" w:rsidRPr="001F71B9" w:rsidRDefault="00C85E2A" w:rsidP="00BF3486">
            <w:pPr>
              <w:jc w:val="center"/>
              <w:rPr>
                <w:sz w:val="24"/>
                <w:szCs w:val="24"/>
              </w:rPr>
            </w:pPr>
            <w:r w:rsidRPr="001F71B9">
              <w:rPr>
                <w:sz w:val="24"/>
                <w:szCs w:val="24"/>
              </w:rPr>
              <w:t>593,445</w:t>
            </w:r>
          </w:p>
        </w:tc>
        <w:tc>
          <w:tcPr>
            <w:tcW w:w="2077" w:type="dxa"/>
            <w:vAlign w:val="center"/>
          </w:tcPr>
          <w:p w:rsidR="00C85E2A" w:rsidRPr="001F71B9" w:rsidRDefault="00C85E2A" w:rsidP="00BF3486">
            <w:pPr>
              <w:jc w:val="center"/>
              <w:rPr>
                <w:sz w:val="24"/>
                <w:szCs w:val="24"/>
              </w:rPr>
            </w:pPr>
            <w:r w:rsidRPr="001F71B9">
              <w:rPr>
                <w:sz w:val="24"/>
                <w:szCs w:val="24"/>
              </w:rPr>
              <w:t>699,82</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5</w:t>
            </w:r>
          </w:p>
        </w:tc>
        <w:tc>
          <w:tcPr>
            <w:tcW w:w="1977" w:type="dxa"/>
            <w:vAlign w:val="center"/>
          </w:tcPr>
          <w:p w:rsidR="00C85E2A" w:rsidRPr="001F71B9" w:rsidRDefault="00C85E2A" w:rsidP="00BF3486">
            <w:pPr>
              <w:jc w:val="center"/>
              <w:rPr>
                <w:sz w:val="24"/>
                <w:szCs w:val="24"/>
              </w:rPr>
            </w:pPr>
            <w:r w:rsidRPr="001F71B9">
              <w:rPr>
                <w:sz w:val="24"/>
                <w:szCs w:val="24"/>
              </w:rPr>
              <w:t>Cezayir</w:t>
            </w:r>
          </w:p>
        </w:tc>
        <w:tc>
          <w:tcPr>
            <w:tcW w:w="2076" w:type="dxa"/>
            <w:vAlign w:val="center"/>
          </w:tcPr>
          <w:p w:rsidR="00C85E2A" w:rsidRPr="001F71B9" w:rsidRDefault="00C85E2A" w:rsidP="00BF3486">
            <w:pPr>
              <w:jc w:val="center"/>
              <w:rPr>
                <w:sz w:val="24"/>
                <w:szCs w:val="24"/>
              </w:rPr>
            </w:pPr>
            <w:r w:rsidRPr="001F71B9">
              <w:rPr>
                <w:sz w:val="24"/>
                <w:szCs w:val="24"/>
              </w:rPr>
              <w:t>486,441</w:t>
            </w:r>
          </w:p>
        </w:tc>
        <w:tc>
          <w:tcPr>
            <w:tcW w:w="2077" w:type="dxa"/>
            <w:vAlign w:val="center"/>
          </w:tcPr>
          <w:p w:rsidR="00C85E2A" w:rsidRPr="001F71B9" w:rsidRDefault="00C85E2A" w:rsidP="00BF3486">
            <w:pPr>
              <w:jc w:val="center"/>
              <w:rPr>
                <w:sz w:val="24"/>
                <w:szCs w:val="24"/>
              </w:rPr>
            </w:pPr>
            <w:r w:rsidRPr="001F71B9">
              <w:rPr>
                <w:sz w:val="24"/>
                <w:szCs w:val="24"/>
              </w:rPr>
              <w:t>619,019</w:t>
            </w:r>
          </w:p>
        </w:tc>
        <w:tc>
          <w:tcPr>
            <w:tcW w:w="2077" w:type="dxa"/>
            <w:vAlign w:val="center"/>
          </w:tcPr>
          <w:p w:rsidR="00C85E2A" w:rsidRPr="001F71B9" w:rsidRDefault="00C85E2A" w:rsidP="00BF3486">
            <w:pPr>
              <w:jc w:val="center"/>
              <w:rPr>
                <w:sz w:val="24"/>
                <w:szCs w:val="24"/>
              </w:rPr>
            </w:pPr>
            <w:r w:rsidRPr="001F71B9">
              <w:rPr>
                <w:sz w:val="24"/>
                <w:szCs w:val="24"/>
              </w:rPr>
              <w:t>558,162</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6</w:t>
            </w:r>
          </w:p>
        </w:tc>
        <w:tc>
          <w:tcPr>
            <w:tcW w:w="1977" w:type="dxa"/>
            <w:vAlign w:val="center"/>
          </w:tcPr>
          <w:p w:rsidR="00C85E2A" w:rsidRPr="001F71B9" w:rsidRDefault="00C85E2A" w:rsidP="00BF3486">
            <w:pPr>
              <w:jc w:val="center"/>
              <w:rPr>
                <w:sz w:val="24"/>
                <w:szCs w:val="24"/>
              </w:rPr>
            </w:pPr>
            <w:r w:rsidRPr="001F71B9">
              <w:rPr>
                <w:sz w:val="24"/>
                <w:szCs w:val="24"/>
              </w:rPr>
              <w:t>Libya</w:t>
            </w:r>
          </w:p>
        </w:tc>
        <w:tc>
          <w:tcPr>
            <w:tcW w:w="2076" w:type="dxa"/>
            <w:vAlign w:val="center"/>
          </w:tcPr>
          <w:p w:rsidR="00C85E2A" w:rsidRPr="001F71B9" w:rsidRDefault="00C85E2A" w:rsidP="00BF3486">
            <w:pPr>
              <w:jc w:val="center"/>
              <w:rPr>
                <w:sz w:val="24"/>
                <w:szCs w:val="24"/>
              </w:rPr>
            </w:pPr>
            <w:r w:rsidRPr="001F71B9">
              <w:rPr>
                <w:sz w:val="24"/>
                <w:szCs w:val="24"/>
              </w:rPr>
              <w:t>868,975</w:t>
            </w:r>
          </w:p>
        </w:tc>
        <w:tc>
          <w:tcPr>
            <w:tcW w:w="2077" w:type="dxa"/>
            <w:vAlign w:val="center"/>
          </w:tcPr>
          <w:p w:rsidR="00C85E2A" w:rsidRPr="001F71B9" w:rsidRDefault="00C85E2A" w:rsidP="00BF3486">
            <w:pPr>
              <w:jc w:val="center"/>
              <w:rPr>
                <w:sz w:val="24"/>
                <w:szCs w:val="24"/>
              </w:rPr>
            </w:pPr>
            <w:r w:rsidRPr="001F71B9">
              <w:rPr>
                <w:sz w:val="24"/>
                <w:szCs w:val="24"/>
              </w:rPr>
              <w:t>667,786</w:t>
            </w:r>
          </w:p>
        </w:tc>
        <w:tc>
          <w:tcPr>
            <w:tcW w:w="2077" w:type="dxa"/>
            <w:vAlign w:val="center"/>
          </w:tcPr>
          <w:p w:rsidR="00C85E2A" w:rsidRPr="001F71B9" w:rsidRDefault="00C85E2A" w:rsidP="00BF3486">
            <w:pPr>
              <w:jc w:val="center"/>
              <w:rPr>
                <w:sz w:val="24"/>
                <w:szCs w:val="24"/>
              </w:rPr>
            </w:pPr>
            <w:r w:rsidRPr="001F71B9">
              <w:rPr>
                <w:sz w:val="24"/>
                <w:szCs w:val="24"/>
              </w:rPr>
              <w:t>540,044</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7</w:t>
            </w:r>
          </w:p>
        </w:tc>
        <w:tc>
          <w:tcPr>
            <w:tcW w:w="1977" w:type="dxa"/>
            <w:vAlign w:val="center"/>
          </w:tcPr>
          <w:p w:rsidR="00C85E2A" w:rsidRPr="001F71B9" w:rsidRDefault="00C85E2A" w:rsidP="00BF3486">
            <w:pPr>
              <w:jc w:val="center"/>
              <w:rPr>
                <w:sz w:val="24"/>
                <w:szCs w:val="24"/>
              </w:rPr>
            </w:pPr>
            <w:r w:rsidRPr="001F71B9">
              <w:rPr>
                <w:sz w:val="24"/>
                <w:szCs w:val="24"/>
              </w:rPr>
              <w:t>Birleşik Krallık</w:t>
            </w:r>
          </w:p>
        </w:tc>
        <w:tc>
          <w:tcPr>
            <w:tcW w:w="2076" w:type="dxa"/>
            <w:vAlign w:val="center"/>
          </w:tcPr>
          <w:p w:rsidR="00C85E2A" w:rsidRPr="001F71B9" w:rsidRDefault="00C85E2A" w:rsidP="00BF3486">
            <w:pPr>
              <w:jc w:val="center"/>
              <w:rPr>
                <w:sz w:val="24"/>
                <w:szCs w:val="24"/>
              </w:rPr>
            </w:pPr>
            <w:r w:rsidRPr="001F71B9">
              <w:rPr>
                <w:sz w:val="24"/>
                <w:szCs w:val="24"/>
              </w:rPr>
              <w:t>644,719</w:t>
            </w:r>
          </w:p>
        </w:tc>
        <w:tc>
          <w:tcPr>
            <w:tcW w:w="2077" w:type="dxa"/>
            <w:vAlign w:val="center"/>
          </w:tcPr>
          <w:p w:rsidR="00C85E2A" w:rsidRPr="001F71B9" w:rsidRDefault="00C85E2A" w:rsidP="00BF3486">
            <w:pPr>
              <w:jc w:val="center"/>
              <w:rPr>
                <w:sz w:val="24"/>
                <w:szCs w:val="24"/>
              </w:rPr>
            </w:pPr>
            <w:r w:rsidRPr="001F71B9">
              <w:rPr>
                <w:sz w:val="24"/>
                <w:szCs w:val="24"/>
              </w:rPr>
              <w:t>711,997</w:t>
            </w:r>
          </w:p>
        </w:tc>
        <w:tc>
          <w:tcPr>
            <w:tcW w:w="2077" w:type="dxa"/>
            <w:vAlign w:val="center"/>
          </w:tcPr>
          <w:p w:rsidR="00C85E2A" w:rsidRPr="001F71B9" w:rsidRDefault="00C85E2A" w:rsidP="00BF3486">
            <w:pPr>
              <w:jc w:val="center"/>
              <w:rPr>
                <w:sz w:val="24"/>
                <w:szCs w:val="24"/>
              </w:rPr>
            </w:pPr>
            <w:r w:rsidRPr="001F71B9">
              <w:rPr>
                <w:sz w:val="24"/>
                <w:szCs w:val="24"/>
              </w:rPr>
              <w:t>438,585</w:t>
            </w:r>
          </w:p>
        </w:tc>
      </w:tr>
      <w:tr w:rsidR="00C85E2A" w:rsidRPr="001F71B9" w:rsidTr="00C85E2A">
        <w:trPr>
          <w:trHeight w:val="303"/>
        </w:trPr>
        <w:tc>
          <w:tcPr>
            <w:tcW w:w="921" w:type="dxa"/>
            <w:vAlign w:val="center"/>
          </w:tcPr>
          <w:p w:rsidR="00C85E2A" w:rsidRPr="001F71B9" w:rsidRDefault="00C85E2A" w:rsidP="00BF3486">
            <w:pPr>
              <w:jc w:val="center"/>
              <w:rPr>
                <w:sz w:val="24"/>
                <w:szCs w:val="24"/>
              </w:rPr>
            </w:pPr>
            <w:r w:rsidRPr="001F71B9">
              <w:rPr>
                <w:sz w:val="24"/>
                <w:szCs w:val="24"/>
              </w:rPr>
              <w:t>8</w:t>
            </w:r>
          </w:p>
        </w:tc>
        <w:tc>
          <w:tcPr>
            <w:tcW w:w="1977" w:type="dxa"/>
            <w:vAlign w:val="center"/>
          </w:tcPr>
          <w:p w:rsidR="00C85E2A" w:rsidRPr="001F71B9" w:rsidRDefault="00C85E2A" w:rsidP="00BF3486">
            <w:pPr>
              <w:jc w:val="center"/>
              <w:rPr>
                <w:sz w:val="24"/>
                <w:szCs w:val="24"/>
              </w:rPr>
            </w:pPr>
            <w:r w:rsidRPr="001F71B9">
              <w:rPr>
                <w:sz w:val="24"/>
                <w:szCs w:val="24"/>
              </w:rPr>
              <w:t>ABD</w:t>
            </w:r>
          </w:p>
        </w:tc>
        <w:tc>
          <w:tcPr>
            <w:tcW w:w="2076" w:type="dxa"/>
            <w:vAlign w:val="center"/>
          </w:tcPr>
          <w:p w:rsidR="00C85E2A" w:rsidRPr="001F71B9" w:rsidRDefault="00C85E2A" w:rsidP="00BF3486">
            <w:pPr>
              <w:jc w:val="center"/>
              <w:rPr>
                <w:sz w:val="24"/>
                <w:szCs w:val="24"/>
              </w:rPr>
            </w:pPr>
            <w:r w:rsidRPr="001F71B9">
              <w:rPr>
                <w:sz w:val="24"/>
                <w:szCs w:val="24"/>
              </w:rPr>
              <w:t>397,451</w:t>
            </w:r>
          </w:p>
        </w:tc>
        <w:tc>
          <w:tcPr>
            <w:tcW w:w="2077" w:type="dxa"/>
            <w:vAlign w:val="center"/>
          </w:tcPr>
          <w:p w:rsidR="00C85E2A" w:rsidRPr="001F71B9" w:rsidRDefault="00C85E2A" w:rsidP="00BF3486">
            <w:pPr>
              <w:jc w:val="center"/>
              <w:rPr>
                <w:sz w:val="24"/>
                <w:szCs w:val="24"/>
              </w:rPr>
            </w:pPr>
            <w:r w:rsidRPr="001F71B9">
              <w:rPr>
                <w:sz w:val="24"/>
                <w:szCs w:val="24"/>
              </w:rPr>
              <w:t>243,461</w:t>
            </w:r>
          </w:p>
        </w:tc>
        <w:tc>
          <w:tcPr>
            <w:tcW w:w="2077" w:type="dxa"/>
            <w:vAlign w:val="center"/>
          </w:tcPr>
          <w:p w:rsidR="00C85E2A" w:rsidRPr="001F71B9" w:rsidRDefault="00C85E2A" w:rsidP="00BF3486">
            <w:pPr>
              <w:jc w:val="center"/>
              <w:rPr>
                <w:sz w:val="24"/>
                <w:szCs w:val="24"/>
              </w:rPr>
            </w:pPr>
            <w:r w:rsidRPr="001F71B9">
              <w:rPr>
                <w:sz w:val="24"/>
                <w:szCs w:val="24"/>
              </w:rPr>
              <w:t>353,604</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9</w:t>
            </w:r>
          </w:p>
        </w:tc>
        <w:tc>
          <w:tcPr>
            <w:tcW w:w="1977" w:type="dxa"/>
            <w:vAlign w:val="center"/>
          </w:tcPr>
          <w:p w:rsidR="00C85E2A" w:rsidRPr="001F71B9" w:rsidRDefault="00C85E2A" w:rsidP="00BF3486">
            <w:pPr>
              <w:jc w:val="center"/>
              <w:rPr>
                <w:sz w:val="24"/>
                <w:szCs w:val="24"/>
              </w:rPr>
            </w:pPr>
            <w:r w:rsidRPr="001F71B9">
              <w:rPr>
                <w:sz w:val="24"/>
                <w:szCs w:val="24"/>
              </w:rPr>
              <w:t>Belçika</w:t>
            </w:r>
          </w:p>
        </w:tc>
        <w:tc>
          <w:tcPr>
            <w:tcW w:w="2076" w:type="dxa"/>
            <w:vAlign w:val="center"/>
          </w:tcPr>
          <w:p w:rsidR="00C85E2A" w:rsidRPr="001F71B9" w:rsidRDefault="00C85E2A" w:rsidP="00BF3486">
            <w:pPr>
              <w:jc w:val="center"/>
              <w:rPr>
                <w:sz w:val="24"/>
                <w:szCs w:val="24"/>
              </w:rPr>
            </w:pPr>
            <w:r w:rsidRPr="001F71B9">
              <w:rPr>
                <w:sz w:val="24"/>
                <w:szCs w:val="24"/>
              </w:rPr>
              <w:t>346,887</w:t>
            </w:r>
          </w:p>
        </w:tc>
        <w:tc>
          <w:tcPr>
            <w:tcW w:w="2077" w:type="dxa"/>
            <w:vAlign w:val="center"/>
          </w:tcPr>
          <w:p w:rsidR="00C85E2A" w:rsidRPr="001F71B9" w:rsidRDefault="00C85E2A" w:rsidP="00BF3486">
            <w:pPr>
              <w:jc w:val="center"/>
              <w:rPr>
                <w:sz w:val="24"/>
                <w:szCs w:val="24"/>
              </w:rPr>
            </w:pPr>
            <w:r w:rsidRPr="001F71B9">
              <w:rPr>
                <w:sz w:val="24"/>
                <w:szCs w:val="24"/>
              </w:rPr>
              <w:t>307,177</w:t>
            </w:r>
          </w:p>
        </w:tc>
        <w:tc>
          <w:tcPr>
            <w:tcW w:w="2077" w:type="dxa"/>
            <w:vAlign w:val="center"/>
          </w:tcPr>
          <w:p w:rsidR="00C85E2A" w:rsidRPr="001F71B9" w:rsidRDefault="00C85E2A" w:rsidP="00BF3486">
            <w:pPr>
              <w:jc w:val="center"/>
              <w:rPr>
                <w:sz w:val="24"/>
                <w:szCs w:val="24"/>
              </w:rPr>
            </w:pPr>
            <w:r w:rsidRPr="001F71B9">
              <w:rPr>
                <w:sz w:val="24"/>
                <w:szCs w:val="24"/>
              </w:rPr>
              <w:t>252,12</w:t>
            </w:r>
          </w:p>
        </w:tc>
      </w:tr>
      <w:tr w:rsidR="00C85E2A" w:rsidRPr="001F71B9" w:rsidTr="00C85E2A">
        <w:trPr>
          <w:trHeight w:val="264"/>
        </w:trPr>
        <w:tc>
          <w:tcPr>
            <w:tcW w:w="921" w:type="dxa"/>
            <w:vAlign w:val="center"/>
          </w:tcPr>
          <w:p w:rsidR="00C85E2A" w:rsidRPr="001F71B9" w:rsidRDefault="00C85E2A" w:rsidP="00BF3486">
            <w:pPr>
              <w:jc w:val="center"/>
              <w:rPr>
                <w:sz w:val="24"/>
                <w:szCs w:val="24"/>
              </w:rPr>
            </w:pPr>
            <w:r w:rsidRPr="001F71B9">
              <w:rPr>
                <w:sz w:val="24"/>
                <w:szCs w:val="24"/>
              </w:rPr>
              <w:t>10</w:t>
            </w:r>
          </w:p>
        </w:tc>
        <w:tc>
          <w:tcPr>
            <w:tcW w:w="1977" w:type="dxa"/>
            <w:vAlign w:val="center"/>
          </w:tcPr>
          <w:p w:rsidR="00C85E2A" w:rsidRPr="001F71B9" w:rsidRDefault="00C85E2A" w:rsidP="00BF3486">
            <w:pPr>
              <w:jc w:val="center"/>
              <w:rPr>
                <w:sz w:val="24"/>
                <w:szCs w:val="24"/>
              </w:rPr>
            </w:pPr>
            <w:r w:rsidRPr="001F71B9">
              <w:rPr>
                <w:sz w:val="24"/>
                <w:szCs w:val="24"/>
              </w:rPr>
              <w:t>Hollanda</w:t>
            </w:r>
          </w:p>
        </w:tc>
        <w:tc>
          <w:tcPr>
            <w:tcW w:w="2076" w:type="dxa"/>
            <w:vAlign w:val="center"/>
          </w:tcPr>
          <w:p w:rsidR="00C85E2A" w:rsidRPr="001F71B9" w:rsidRDefault="00C85E2A" w:rsidP="00BF3486">
            <w:pPr>
              <w:jc w:val="center"/>
              <w:rPr>
                <w:sz w:val="24"/>
                <w:szCs w:val="24"/>
              </w:rPr>
            </w:pPr>
            <w:r w:rsidRPr="001F71B9">
              <w:rPr>
                <w:sz w:val="24"/>
                <w:szCs w:val="24"/>
              </w:rPr>
              <w:t>609,529</w:t>
            </w:r>
          </w:p>
        </w:tc>
        <w:tc>
          <w:tcPr>
            <w:tcW w:w="2077" w:type="dxa"/>
            <w:vAlign w:val="center"/>
          </w:tcPr>
          <w:p w:rsidR="00C85E2A" w:rsidRPr="001F71B9" w:rsidRDefault="00C85E2A" w:rsidP="00BF3486">
            <w:pPr>
              <w:jc w:val="center"/>
              <w:rPr>
                <w:sz w:val="24"/>
                <w:szCs w:val="24"/>
              </w:rPr>
            </w:pPr>
            <w:r w:rsidRPr="001F71B9">
              <w:rPr>
                <w:sz w:val="24"/>
                <w:szCs w:val="24"/>
              </w:rPr>
              <w:t>459,389</w:t>
            </w:r>
          </w:p>
        </w:tc>
        <w:tc>
          <w:tcPr>
            <w:tcW w:w="2077" w:type="dxa"/>
            <w:vAlign w:val="center"/>
          </w:tcPr>
          <w:p w:rsidR="00C85E2A" w:rsidRPr="001F71B9" w:rsidRDefault="00C85E2A" w:rsidP="00BF3486">
            <w:pPr>
              <w:jc w:val="center"/>
              <w:rPr>
                <w:sz w:val="24"/>
                <w:szCs w:val="24"/>
              </w:rPr>
            </w:pPr>
            <w:r w:rsidRPr="001F71B9">
              <w:rPr>
                <w:sz w:val="24"/>
                <w:szCs w:val="24"/>
              </w:rPr>
              <w:t>239,25</w:t>
            </w:r>
          </w:p>
        </w:tc>
      </w:tr>
    </w:tbl>
    <w:p w:rsidR="00C85E2A" w:rsidRPr="001F71B9" w:rsidRDefault="00C85E2A" w:rsidP="00BF3486">
      <w:pPr>
        <w:pStyle w:val="Quote"/>
        <w:spacing w:after="0" w:line="240" w:lineRule="auto"/>
        <w:rPr>
          <w:sz w:val="24"/>
          <w:szCs w:val="24"/>
        </w:rPr>
      </w:pPr>
      <w:r w:rsidRPr="001F71B9">
        <w:rPr>
          <w:sz w:val="24"/>
          <w:szCs w:val="24"/>
        </w:rPr>
        <w:t>Kaynak: ITC Trademap</w:t>
      </w:r>
    </w:p>
    <w:p w:rsidR="00C85E2A" w:rsidRPr="001F71B9" w:rsidRDefault="00C85E2A" w:rsidP="00BF3486">
      <w:pPr>
        <w:spacing w:after="0" w:line="240" w:lineRule="auto"/>
        <w:rPr>
          <w:rFonts w:eastAsiaTheme="majorEastAsia" w:cstheme="majorBidi"/>
          <w:b/>
          <w:bCs/>
          <w:color w:val="4F81BD" w:themeColor="accent1"/>
          <w:sz w:val="24"/>
          <w:szCs w:val="24"/>
        </w:rPr>
      </w:pPr>
      <w:r w:rsidRPr="001F71B9">
        <w:rPr>
          <w:sz w:val="24"/>
          <w:szCs w:val="24"/>
        </w:rPr>
        <w:br w:type="page"/>
      </w:r>
    </w:p>
    <w:p w:rsidR="00A17E9E" w:rsidRPr="001F71B9" w:rsidRDefault="00BE1168" w:rsidP="00BF3486">
      <w:pPr>
        <w:pStyle w:val="Heading2"/>
        <w:spacing w:before="0" w:line="240" w:lineRule="auto"/>
        <w:rPr>
          <w:rFonts w:asciiTheme="minorHAnsi" w:hAnsiTheme="minorHAnsi"/>
          <w:sz w:val="24"/>
          <w:szCs w:val="24"/>
        </w:rPr>
      </w:pPr>
      <w:bookmarkStart w:id="20" w:name="_Toc482353118"/>
      <w:r w:rsidRPr="001F71B9">
        <w:rPr>
          <w:rFonts w:asciiTheme="minorHAnsi" w:hAnsiTheme="minorHAnsi"/>
          <w:sz w:val="24"/>
          <w:szCs w:val="24"/>
        </w:rPr>
        <w:lastRenderedPageBreak/>
        <w:t xml:space="preserve">Tunus’un </w:t>
      </w:r>
      <w:r w:rsidR="00A17E9E" w:rsidRPr="001F71B9">
        <w:rPr>
          <w:rFonts w:asciiTheme="minorHAnsi" w:hAnsiTheme="minorHAnsi"/>
          <w:sz w:val="24"/>
          <w:szCs w:val="24"/>
        </w:rPr>
        <w:t>İhracatında Başlıca Ürünler (1000$)</w:t>
      </w:r>
      <w:bookmarkEnd w:id="20"/>
    </w:p>
    <w:p w:rsidR="00C85E2A" w:rsidRPr="001F71B9" w:rsidRDefault="00BE1168" w:rsidP="00BF3486">
      <w:pPr>
        <w:spacing w:after="0" w:line="240" w:lineRule="auto"/>
        <w:jc w:val="both"/>
        <w:rPr>
          <w:rFonts w:cs="Times New Roman"/>
          <w:sz w:val="24"/>
          <w:szCs w:val="24"/>
        </w:rPr>
      </w:pPr>
      <w:r w:rsidRPr="001F71B9">
        <w:rPr>
          <w:rFonts w:cs="Times New Roman"/>
          <w:sz w:val="24"/>
          <w:szCs w:val="24"/>
        </w:rPr>
        <w:t>Tunus’un ihracat yapısı ise ülkenin aynı zamanda üretim yapısını da yansıtmaktadır. İhracatta, kablo, zeytinyağı, hazır giyim, ham petrol, elektrik tesisat malzemeleri, taşıt araçları aksam ve parçaları, TV alıcıları, ayakkabı, spor giyim, hava taşıtlarının aksam ve parçaları, elektrik panoları değer bazında önemli bir yer tutmaktadır.</w:t>
      </w:r>
    </w:p>
    <w:tbl>
      <w:tblPr>
        <w:tblStyle w:val="TableGrid"/>
        <w:tblW w:w="5201" w:type="pct"/>
        <w:tblLook w:val="04A0" w:firstRow="1" w:lastRow="0" w:firstColumn="1" w:lastColumn="0" w:noHBand="0" w:noVBand="1"/>
      </w:tblPr>
      <w:tblGrid>
        <w:gridCol w:w="734"/>
        <w:gridCol w:w="3597"/>
        <w:gridCol w:w="1336"/>
        <w:gridCol w:w="1322"/>
        <w:gridCol w:w="1336"/>
        <w:gridCol w:w="1336"/>
      </w:tblGrid>
      <w:tr w:rsidR="00BE1168" w:rsidRPr="001F71B9" w:rsidTr="00C85E2A">
        <w:trPr>
          <w:trHeight w:val="218"/>
        </w:trPr>
        <w:tc>
          <w:tcPr>
            <w:tcW w:w="734" w:type="dxa"/>
            <w:vAlign w:val="center"/>
            <w:hideMark/>
          </w:tcPr>
          <w:p w:rsidR="00BE1168" w:rsidRPr="001F71B9" w:rsidRDefault="00C85E2A" w:rsidP="00BF3486">
            <w:pPr>
              <w:pStyle w:val="NoSpacing"/>
              <w:jc w:val="center"/>
              <w:rPr>
                <w:sz w:val="24"/>
                <w:szCs w:val="24"/>
              </w:rPr>
            </w:pPr>
            <w:r w:rsidRPr="001F71B9">
              <w:rPr>
                <w:rFonts w:cs="Times New Roman"/>
                <w:sz w:val="24"/>
                <w:szCs w:val="24"/>
                <w:lang w:val="tr-TR"/>
              </w:rPr>
              <w:br w:type="page"/>
            </w:r>
            <w:r w:rsidR="00BE1168" w:rsidRPr="001F71B9">
              <w:rPr>
                <w:sz w:val="24"/>
                <w:szCs w:val="24"/>
              </w:rPr>
              <w:t>GTİP</w:t>
            </w:r>
          </w:p>
        </w:tc>
        <w:tc>
          <w:tcPr>
            <w:tcW w:w="3597" w:type="dxa"/>
            <w:vAlign w:val="center"/>
            <w:hideMark/>
          </w:tcPr>
          <w:p w:rsidR="00BE1168" w:rsidRPr="001F71B9" w:rsidRDefault="00BE1168" w:rsidP="00BF3486">
            <w:pPr>
              <w:pStyle w:val="NoSpacing"/>
              <w:jc w:val="center"/>
              <w:rPr>
                <w:sz w:val="24"/>
                <w:szCs w:val="24"/>
              </w:rPr>
            </w:pPr>
            <w:r w:rsidRPr="001F71B9">
              <w:rPr>
                <w:sz w:val="24"/>
                <w:szCs w:val="24"/>
              </w:rPr>
              <w:t>ÜRÜNLER</w:t>
            </w:r>
          </w:p>
        </w:tc>
        <w:tc>
          <w:tcPr>
            <w:tcW w:w="1336" w:type="dxa"/>
            <w:vAlign w:val="center"/>
            <w:hideMark/>
          </w:tcPr>
          <w:p w:rsidR="00BE1168" w:rsidRPr="001F71B9" w:rsidRDefault="00BE1168" w:rsidP="00BF3486">
            <w:pPr>
              <w:pStyle w:val="NoSpacing"/>
              <w:jc w:val="center"/>
              <w:rPr>
                <w:sz w:val="24"/>
                <w:szCs w:val="24"/>
              </w:rPr>
            </w:pPr>
          </w:p>
          <w:p w:rsidR="00BE1168" w:rsidRPr="001F71B9" w:rsidRDefault="00BE1168" w:rsidP="00BF3486">
            <w:pPr>
              <w:pStyle w:val="NoSpacing"/>
              <w:jc w:val="center"/>
              <w:rPr>
                <w:sz w:val="24"/>
                <w:szCs w:val="24"/>
              </w:rPr>
            </w:pPr>
            <w:r w:rsidRPr="001F71B9">
              <w:rPr>
                <w:sz w:val="24"/>
                <w:szCs w:val="24"/>
              </w:rPr>
              <w:t>2013</w:t>
            </w:r>
          </w:p>
          <w:p w:rsidR="00BE1168" w:rsidRPr="001F71B9" w:rsidRDefault="00BE1168" w:rsidP="00BF3486">
            <w:pPr>
              <w:pStyle w:val="NoSpacing"/>
              <w:jc w:val="center"/>
              <w:rPr>
                <w:sz w:val="24"/>
                <w:szCs w:val="24"/>
              </w:rPr>
            </w:pPr>
          </w:p>
        </w:tc>
        <w:tc>
          <w:tcPr>
            <w:tcW w:w="1322" w:type="dxa"/>
            <w:vAlign w:val="center"/>
            <w:hideMark/>
          </w:tcPr>
          <w:p w:rsidR="00BE1168" w:rsidRPr="001F71B9" w:rsidRDefault="00BE1168" w:rsidP="00BF3486">
            <w:pPr>
              <w:pStyle w:val="NoSpacing"/>
              <w:jc w:val="center"/>
              <w:rPr>
                <w:sz w:val="24"/>
                <w:szCs w:val="24"/>
              </w:rPr>
            </w:pPr>
          </w:p>
          <w:p w:rsidR="00BE1168" w:rsidRPr="001F71B9" w:rsidRDefault="00BE1168" w:rsidP="00BF3486">
            <w:pPr>
              <w:pStyle w:val="NoSpacing"/>
              <w:jc w:val="center"/>
              <w:rPr>
                <w:sz w:val="24"/>
                <w:szCs w:val="24"/>
              </w:rPr>
            </w:pPr>
            <w:r w:rsidRPr="001F71B9">
              <w:rPr>
                <w:sz w:val="24"/>
                <w:szCs w:val="24"/>
              </w:rPr>
              <w:t>2014</w:t>
            </w:r>
          </w:p>
          <w:p w:rsidR="00BE1168" w:rsidRPr="001F71B9" w:rsidRDefault="00BE1168" w:rsidP="00BF3486">
            <w:pPr>
              <w:pStyle w:val="NoSpacing"/>
              <w:jc w:val="center"/>
              <w:rPr>
                <w:sz w:val="24"/>
                <w:szCs w:val="24"/>
              </w:rPr>
            </w:pPr>
          </w:p>
        </w:tc>
        <w:tc>
          <w:tcPr>
            <w:tcW w:w="1336" w:type="dxa"/>
            <w:vAlign w:val="center"/>
            <w:hideMark/>
          </w:tcPr>
          <w:p w:rsidR="00BE1168" w:rsidRPr="001F71B9" w:rsidRDefault="00BE1168" w:rsidP="00BF3486">
            <w:pPr>
              <w:pStyle w:val="NoSpacing"/>
              <w:jc w:val="center"/>
              <w:rPr>
                <w:sz w:val="24"/>
                <w:szCs w:val="24"/>
              </w:rPr>
            </w:pPr>
          </w:p>
          <w:p w:rsidR="00BE1168" w:rsidRPr="001F71B9" w:rsidRDefault="00BE1168" w:rsidP="00BF3486">
            <w:pPr>
              <w:pStyle w:val="NoSpacing"/>
              <w:jc w:val="center"/>
              <w:rPr>
                <w:sz w:val="24"/>
                <w:szCs w:val="24"/>
              </w:rPr>
            </w:pPr>
            <w:r w:rsidRPr="001F71B9">
              <w:rPr>
                <w:sz w:val="24"/>
                <w:szCs w:val="24"/>
              </w:rPr>
              <w:t>2015*</w:t>
            </w:r>
          </w:p>
          <w:p w:rsidR="00BE1168" w:rsidRPr="001F71B9" w:rsidRDefault="00BE1168" w:rsidP="00BF3486">
            <w:pPr>
              <w:pStyle w:val="NoSpacing"/>
              <w:jc w:val="center"/>
              <w:rPr>
                <w:sz w:val="24"/>
                <w:szCs w:val="24"/>
              </w:rPr>
            </w:pPr>
          </w:p>
        </w:tc>
        <w:tc>
          <w:tcPr>
            <w:tcW w:w="1336" w:type="dxa"/>
            <w:vAlign w:val="center"/>
          </w:tcPr>
          <w:p w:rsidR="00BE1168" w:rsidRPr="001F71B9" w:rsidRDefault="00BE1168" w:rsidP="00BF3486">
            <w:pPr>
              <w:pStyle w:val="NoSpacing"/>
              <w:jc w:val="center"/>
              <w:rPr>
                <w:sz w:val="24"/>
                <w:szCs w:val="24"/>
              </w:rPr>
            </w:pPr>
            <w:r w:rsidRPr="001F71B9">
              <w:rPr>
                <w:sz w:val="24"/>
                <w:szCs w:val="24"/>
              </w:rPr>
              <w:t>2016</w:t>
            </w:r>
          </w:p>
        </w:tc>
      </w:tr>
      <w:tr w:rsidR="00BE1168" w:rsidRPr="001F71B9" w:rsidTr="00C85E2A">
        <w:trPr>
          <w:trHeight w:val="465"/>
        </w:trPr>
        <w:tc>
          <w:tcPr>
            <w:tcW w:w="734" w:type="dxa"/>
            <w:vAlign w:val="center"/>
            <w:hideMark/>
          </w:tcPr>
          <w:p w:rsidR="00BE1168" w:rsidRPr="001F71B9" w:rsidRDefault="00BE1168" w:rsidP="00BF3486">
            <w:pPr>
              <w:pStyle w:val="NoSpacing"/>
              <w:jc w:val="center"/>
              <w:rPr>
                <w:sz w:val="24"/>
                <w:szCs w:val="24"/>
              </w:rPr>
            </w:pPr>
          </w:p>
        </w:tc>
        <w:tc>
          <w:tcPr>
            <w:tcW w:w="3597" w:type="dxa"/>
            <w:vAlign w:val="center"/>
            <w:hideMark/>
          </w:tcPr>
          <w:p w:rsidR="00BE1168" w:rsidRPr="001F71B9" w:rsidRDefault="00BE1168" w:rsidP="00BF3486">
            <w:pPr>
              <w:pStyle w:val="NoSpacing"/>
              <w:jc w:val="center"/>
              <w:rPr>
                <w:sz w:val="24"/>
                <w:szCs w:val="24"/>
              </w:rPr>
            </w:pPr>
            <w:r w:rsidRPr="001F71B9">
              <w:rPr>
                <w:b/>
                <w:bCs/>
                <w:sz w:val="24"/>
                <w:szCs w:val="24"/>
              </w:rPr>
              <w:t>TOPLAM İHRACAT</w:t>
            </w:r>
          </w:p>
        </w:tc>
        <w:tc>
          <w:tcPr>
            <w:tcW w:w="1336" w:type="dxa"/>
            <w:vAlign w:val="center"/>
            <w:hideMark/>
          </w:tcPr>
          <w:p w:rsidR="00BE1168" w:rsidRPr="001F71B9" w:rsidRDefault="00BE1168" w:rsidP="00BF3486">
            <w:pPr>
              <w:pStyle w:val="NoSpacing"/>
              <w:jc w:val="center"/>
              <w:rPr>
                <w:sz w:val="24"/>
                <w:szCs w:val="24"/>
              </w:rPr>
            </w:pPr>
            <w:r w:rsidRPr="001F71B9">
              <w:rPr>
                <w:b/>
                <w:bCs/>
                <w:sz w:val="24"/>
                <w:szCs w:val="24"/>
              </w:rPr>
              <w:t>17.060.465</w:t>
            </w:r>
          </w:p>
        </w:tc>
        <w:tc>
          <w:tcPr>
            <w:tcW w:w="1322" w:type="dxa"/>
            <w:vAlign w:val="center"/>
            <w:hideMark/>
          </w:tcPr>
          <w:p w:rsidR="00BE1168" w:rsidRPr="001F71B9" w:rsidRDefault="00BE1168" w:rsidP="00BF3486">
            <w:pPr>
              <w:pStyle w:val="NoSpacing"/>
              <w:jc w:val="center"/>
              <w:rPr>
                <w:sz w:val="24"/>
                <w:szCs w:val="24"/>
              </w:rPr>
            </w:pPr>
            <w:r w:rsidRPr="001F71B9">
              <w:rPr>
                <w:b/>
                <w:bCs/>
                <w:sz w:val="24"/>
                <w:szCs w:val="24"/>
              </w:rPr>
              <w:t>16.768.213</w:t>
            </w:r>
          </w:p>
        </w:tc>
        <w:tc>
          <w:tcPr>
            <w:tcW w:w="1336" w:type="dxa"/>
            <w:vAlign w:val="center"/>
            <w:hideMark/>
          </w:tcPr>
          <w:p w:rsidR="00BE1168" w:rsidRPr="001F71B9" w:rsidRDefault="00BE1168" w:rsidP="00BF3486">
            <w:pPr>
              <w:pStyle w:val="NoSpacing"/>
              <w:jc w:val="center"/>
              <w:rPr>
                <w:sz w:val="24"/>
                <w:szCs w:val="24"/>
              </w:rPr>
            </w:pPr>
            <w:r w:rsidRPr="001F71B9">
              <w:rPr>
                <w:b/>
                <w:bCs/>
                <w:sz w:val="24"/>
                <w:szCs w:val="24"/>
              </w:rPr>
              <w:t>12.930.298</w:t>
            </w:r>
          </w:p>
        </w:tc>
        <w:tc>
          <w:tcPr>
            <w:tcW w:w="1336" w:type="dxa"/>
            <w:vAlign w:val="center"/>
          </w:tcPr>
          <w:p w:rsidR="00BE1168" w:rsidRPr="001F71B9" w:rsidRDefault="00BE1168" w:rsidP="00BF3486">
            <w:pPr>
              <w:pStyle w:val="NoSpacing"/>
              <w:jc w:val="center"/>
              <w:rPr>
                <w:b/>
                <w:bCs/>
                <w:sz w:val="24"/>
                <w:szCs w:val="24"/>
              </w:rPr>
            </w:pPr>
            <w:r w:rsidRPr="001F71B9">
              <w:rPr>
                <w:b/>
                <w:bCs/>
                <w:sz w:val="24"/>
                <w:szCs w:val="24"/>
              </w:rPr>
              <w:t>13.216.299</w:t>
            </w:r>
          </w:p>
        </w:tc>
      </w:tr>
      <w:tr w:rsidR="00BE1168" w:rsidRPr="001F71B9" w:rsidTr="00C85E2A">
        <w:trPr>
          <w:trHeight w:val="525"/>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8544</w:t>
            </w:r>
          </w:p>
        </w:tc>
        <w:tc>
          <w:tcPr>
            <w:tcW w:w="3597" w:type="dxa"/>
            <w:vAlign w:val="center"/>
            <w:hideMark/>
          </w:tcPr>
          <w:p w:rsidR="00BE1168" w:rsidRPr="001F71B9" w:rsidRDefault="00BE1168" w:rsidP="00BF3486">
            <w:pPr>
              <w:pStyle w:val="NoSpacing"/>
              <w:jc w:val="center"/>
              <w:rPr>
                <w:sz w:val="24"/>
                <w:szCs w:val="24"/>
              </w:rPr>
            </w:pPr>
            <w:proofErr w:type="spellStart"/>
            <w:r w:rsidRPr="001F71B9">
              <w:rPr>
                <w:sz w:val="24"/>
                <w:szCs w:val="24"/>
              </w:rPr>
              <w:t>İzole</w:t>
            </w:r>
            <w:proofErr w:type="spellEnd"/>
            <w:r w:rsidRPr="001F71B9">
              <w:rPr>
                <w:sz w:val="24"/>
                <w:szCs w:val="24"/>
              </w:rPr>
              <w:t xml:space="preserve"> </w:t>
            </w:r>
            <w:proofErr w:type="spellStart"/>
            <w:r w:rsidRPr="001F71B9">
              <w:rPr>
                <w:sz w:val="24"/>
                <w:szCs w:val="24"/>
              </w:rPr>
              <w:t>edilmiş</w:t>
            </w:r>
            <w:proofErr w:type="spellEnd"/>
            <w:r w:rsidRPr="001F71B9">
              <w:rPr>
                <w:sz w:val="24"/>
                <w:szCs w:val="24"/>
              </w:rPr>
              <w:t xml:space="preserve"> teller, </w:t>
            </w:r>
            <w:proofErr w:type="spellStart"/>
            <w:r w:rsidRPr="001F71B9">
              <w:rPr>
                <w:sz w:val="24"/>
                <w:szCs w:val="24"/>
              </w:rPr>
              <w:t>kablolar</w:t>
            </w:r>
            <w:proofErr w:type="spellEnd"/>
            <w:r w:rsidRPr="001F71B9">
              <w:rPr>
                <w:sz w:val="24"/>
                <w:szCs w:val="24"/>
              </w:rPr>
              <w:t xml:space="preserve"> ve </w:t>
            </w:r>
            <w:proofErr w:type="spellStart"/>
            <w:r w:rsidRPr="001F71B9">
              <w:rPr>
                <w:sz w:val="24"/>
                <w:szCs w:val="24"/>
              </w:rPr>
              <w:t>diğer</w:t>
            </w:r>
            <w:proofErr w:type="spellEnd"/>
            <w:r w:rsidRPr="001F71B9">
              <w:rPr>
                <w:sz w:val="24"/>
                <w:szCs w:val="24"/>
              </w:rPr>
              <w:t xml:space="preserve"> </w:t>
            </w: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iletkenler</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kaplanmış</w:t>
            </w:r>
            <w:proofErr w:type="spellEnd"/>
            <w:r w:rsidRPr="001F71B9">
              <w:rPr>
                <w:sz w:val="24"/>
                <w:szCs w:val="24"/>
              </w:rPr>
              <w:t xml:space="preserve"> </w:t>
            </w:r>
            <w:proofErr w:type="spellStart"/>
            <w:r w:rsidRPr="001F71B9">
              <w:rPr>
                <w:sz w:val="24"/>
                <w:szCs w:val="24"/>
              </w:rPr>
              <w:t>liflerden</w:t>
            </w:r>
            <w:proofErr w:type="spellEnd"/>
            <w:r w:rsidRPr="001F71B9">
              <w:rPr>
                <w:sz w:val="24"/>
                <w:szCs w:val="24"/>
              </w:rPr>
              <w:t xml:space="preserve"> </w:t>
            </w:r>
            <w:proofErr w:type="spellStart"/>
            <w:r w:rsidRPr="001F71B9">
              <w:rPr>
                <w:sz w:val="24"/>
                <w:szCs w:val="24"/>
              </w:rPr>
              <w:t>oluşan</w:t>
            </w:r>
            <w:proofErr w:type="spellEnd"/>
            <w:r w:rsidRPr="001F71B9">
              <w:rPr>
                <w:sz w:val="24"/>
                <w:szCs w:val="24"/>
              </w:rPr>
              <w:t xml:space="preserve"> fiber </w:t>
            </w:r>
            <w:proofErr w:type="spellStart"/>
            <w:r w:rsidRPr="001F71B9">
              <w:rPr>
                <w:sz w:val="24"/>
                <w:szCs w:val="24"/>
              </w:rPr>
              <w:t>optik</w:t>
            </w:r>
            <w:proofErr w:type="spellEnd"/>
            <w:r w:rsidRPr="001F71B9">
              <w:rPr>
                <w:sz w:val="24"/>
                <w:szCs w:val="24"/>
              </w:rPr>
              <w:t xml:space="preserve"> </w:t>
            </w:r>
            <w:proofErr w:type="spellStart"/>
            <w:r w:rsidRPr="001F71B9">
              <w:rPr>
                <w:sz w:val="24"/>
                <w:szCs w:val="24"/>
              </w:rPr>
              <w:t>kablolar</w:t>
            </w:r>
            <w:proofErr w:type="spellEnd"/>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1.678.210</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1.822.885</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1.659.487</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225"/>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1509</w:t>
            </w:r>
          </w:p>
        </w:tc>
        <w:tc>
          <w:tcPr>
            <w:tcW w:w="3597" w:type="dxa"/>
            <w:vAlign w:val="center"/>
            <w:hideMark/>
          </w:tcPr>
          <w:p w:rsidR="00BE1168" w:rsidRPr="001F71B9" w:rsidRDefault="00BE1168" w:rsidP="00BF3486">
            <w:pPr>
              <w:pStyle w:val="NoSpacing"/>
              <w:jc w:val="center"/>
              <w:rPr>
                <w:sz w:val="24"/>
                <w:szCs w:val="24"/>
              </w:rPr>
            </w:pPr>
            <w:proofErr w:type="spellStart"/>
            <w:r w:rsidRPr="001F71B9">
              <w:rPr>
                <w:sz w:val="24"/>
                <w:szCs w:val="24"/>
              </w:rPr>
              <w:t>Zeytinyağı</w:t>
            </w:r>
            <w:proofErr w:type="spellEnd"/>
            <w:r w:rsidRPr="001F71B9">
              <w:rPr>
                <w:sz w:val="24"/>
                <w:szCs w:val="24"/>
              </w:rPr>
              <w:t xml:space="preserve"> ve </w:t>
            </w:r>
            <w:proofErr w:type="spellStart"/>
            <w:r w:rsidRPr="001F71B9">
              <w:rPr>
                <w:sz w:val="24"/>
                <w:szCs w:val="24"/>
              </w:rPr>
              <w:t>fraksiyonları</w:t>
            </w:r>
            <w:proofErr w:type="spellEnd"/>
            <w:r w:rsidRPr="001F71B9">
              <w:rPr>
                <w:sz w:val="24"/>
                <w:szCs w:val="24"/>
              </w:rPr>
              <w:t xml:space="preserve"> (</w:t>
            </w:r>
            <w:proofErr w:type="spellStart"/>
            <w:r w:rsidRPr="001F71B9">
              <w:rPr>
                <w:sz w:val="24"/>
                <w:szCs w:val="24"/>
              </w:rPr>
              <w:t>kimyasal</w:t>
            </w:r>
            <w:proofErr w:type="spellEnd"/>
            <w:r w:rsidRPr="001F71B9">
              <w:rPr>
                <w:sz w:val="24"/>
                <w:szCs w:val="24"/>
              </w:rPr>
              <w:t xml:space="preserve"> </w:t>
            </w:r>
            <w:proofErr w:type="spellStart"/>
            <w:r w:rsidRPr="001F71B9">
              <w:rPr>
                <w:sz w:val="24"/>
                <w:szCs w:val="24"/>
              </w:rPr>
              <w:t>olarak</w:t>
            </w:r>
            <w:proofErr w:type="spellEnd"/>
            <w:r w:rsidRPr="001F71B9">
              <w:rPr>
                <w:sz w:val="24"/>
                <w:szCs w:val="24"/>
              </w:rPr>
              <w:t xml:space="preserve"> </w:t>
            </w:r>
            <w:proofErr w:type="spellStart"/>
            <w:r w:rsidRPr="001F71B9">
              <w:rPr>
                <w:sz w:val="24"/>
                <w:szCs w:val="24"/>
              </w:rPr>
              <w:t>değiştirilmemiş</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504.593</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276.958</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900.306</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225"/>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6203</w:t>
            </w:r>
          </w:p>
        </w:tc>
        <w:tc>
          <w:tcPr>
            <w:tcW w:w="3597" w:type="dxa"/>
            <w:vAlign w:val="center"/>
            <w:hideMark/>
          </w:tcPr>
          <w:p w:rsidR="00BE1168" w:rsidRPr="001F71B9" w:rsidRDefault="00BE1168" w:rsidP="00BF3486">
            <w:pPr>
              <w:pStyle w:val="NoSpacing"/>
              <w:jc w:val="center"/>
              <w:rPr>
                <w:sz w:val="24"/>
                <w:szCs w:val="24"/>
              </w:rPr>
            </w:pPr>
            <w:proofErr w:type="spellStart"/>
            <w:r w:rsidRPr="001F71B9">
              <w:rPr>
                <w:sz w:val="24"/>
                <w:szCs w:val="24"/>
              </w:rPr>
              <w:t>Erkekler</w:t>
            </w:r>
            <w:proofErr w:type="spellEnd"/>
            <w:r w:rsidRPr="001F71B9">
              <w:rPr>
                <w:sz w:val="24"/>
                <w:szCs w:val="24"/>
              </w:rPr>
              <w:t xml:space="preserve"> ve </w:t>
            </w:r>
            <w:proofErr w:type="spellStart"/>
            <w:r w:rsidRPr="001F71B9">
              <w:rPr>
                <w:sz w:val="24"/>
                <w:szCs w:val="24"/>
              </w:rPr>
              <w:t>erkek</w:t>
            </w:r>
            <w:proofErr w:type="spellEnd"/>
            <w:r w:rsidRPr="001F71B9">
              <w:rPr>
                <w:sz w:val="24"/>
                <w:szCs w:val="24"/>
              </w:rPr>
              <w:t xml:space="preserve"> </w:t>
            </w:r>
            <w:proofErr w:type="spellStart"/>
            <w:r w:rsidRPr="001F71B9">
              <w:rPr>
                <w:sz w:val="24"/>
                <w:szCs w:val="24"/>
              </w:rPr>
              <w:t>çocuk</w:t>
            </w:r>
            <w:proofErr w:type="spellEnd"/>
            <w:r w:rsidRPr="001F71B9">
              <w:rPr>
                <w:sz w:val="24"/>
                <w:szCs w:val="24"/>
              </w:rPr>
              <w:t xml:space="preserve"> </w:t>
            </w:r>
            <w:proofErr w:type="spellStart"/>
            <w:r w:rsidRPr="001F71B9">
              <w:rPr>
                <w:sz w:val="24"/>
                <w:szCs w:val="24"/>
              </w:rPr>
              <w:t>için</w:t>
            </w:r>
            <w:proofErr w:type="spellEnd"/>
            <w:r w:rsidRPr="001F71B9">
              <w:rPr>
                <w:sz w:val="24"/>
                <w:szCs w:val="24"/>
              </w:rPr>
              <w:t xml:space="preserve"> </w:t>
            </w:r>
            <w:proofErr w:type="spellStart"/>
            <w:r w:rsidRPr="001F71B9">
              <w:rPr>
                <w:sz w:val="24"/>
                <w:szCs w:val="24"/>
              </w:rPr>
              <w:t>takım</w:t>
            </w:r>
            <w:proofErr w:type="spellEnd"/>
            <w:r w:rsidRPr="001F71B9">
              <w:rPr>
                <w:sz w:val="24"/>
                <w:szCs w:val="24"/>
              </w:rPr>
              <w:t xml:space="preserve"> </w:t>
            </w:r>
            <w:proofErr w:type="spellStart"/>
            <w:r w:rsidRPr="001F71B9">
              <w:rPr>
                <w:sz w:val="24"/>
                <w:szCs w:val="24"/>
              </w:rPr>
              <w:t>elbise</w:t>
            </w:r>
            <w:proofErr w:type="spellEnd"/>
            <w:r w:rsidRPr="001F71B9">
              <w:rPr>
                <w:sz w:val="24"/>
                <w:szCs w:val="24"/>
              </w:rPr>
              <w:t xml:space="preserve">, </w:t>
            </w:r>
            <w:proofErr w:type="spellStart"/>
            <w:r w:rsidRPr="001F71B9">
              <w:rPr>
                <w:sz w:val="24"/>
                <w:szCs w:val="24"/>
              </w:rPr>
              <w:t>takım</w:t>
            </w:r>
            <w:proofErr w:type="spellEnd"/>
            <w:r w:rsidRPr="001F71B9">
              <w:rPr>
                <w:sz w:val="24"/>
                <w:szCs w:val="24"/>
              </w:rPr>
              <w:t xml:space="preserve">, </w:t>
            </w:r>
            <w:proofErr w:type="spellStart"/>
            <w:r w:rsidRPr="001F71B9">
              <w:rPr>
                <w:sz w:val="24"/>
                <w:szCs w:val="24"/>
              </w:rPr>
              <w:t>ceket</w:t>
            </w:r>
            <w:proofErr w:type="spellEnd"/>
            <w:r w:rsidRPr="001F71B9">
              <w:rPr>
                <w:sz w:val="24"/>
                <w:szCs w:val="24"/>
              </w:rPr>
              <w:t xml:space="preserve">, blazer, </w:t>
            </w:r>
            <w:proofErr w:type="spellStart"/>
            <w:r w:rsidRPr="001F71B9">
              <w:rPr>
                <w:sz w:val="24"/>
                <w:szCs w:val="24"/>
              </w:rPr>
              <w:t>pantolon</w:t>
            </w:r>
            <w:proofErr w:type="spellEnd"/>
            <w:r w:rsidRPr="001F71B9">
              <w:rPr>
                <w:sz w:val="24"/>
                <w:szCs w:val="24"/>
              </w:rPr>
              <w:t xml:space="preserve">, </w:t>
            </w:r>
            <w:proofErr w:type="spellStart"/>
            <w:r w:rsidRPr="001F71B9">
              <w:rPr>
                <w:sz w:val="24"/>
                <w:szCs w:val="24"/>
              </w:rPr>
              <w:t>tulum</w:t>
            </w:r>
            <w:proofErr w:type="spellEnd"/>
            <w:r w:rsidRPr="001F71B9">
              <w:rPr>
                <w:sz w:val="24"/>
                <w:szCs w:val="24"/>
              </w:rPr>
              <w:t xml:space="preserve"> ve </w:t>
            </w:r>
            <w:proofErr w:type="spellStart"/>
            <w:r w:rsidRPr="001F71B9">
              <w:rPr>
                <w:sz w:val="24"/>
                <w:szCs w:val="24"/>
              </w:rPr>
              <w:t>şort</w:t>
            </w:r>
            <w:proofErr w:type="spellEnd"/>
            <w:r w:rsidRPr="001F71B9">
              <w:rPr>
                <w:sz w:val="24"/>
                <w:szCs w:val="24"/>
              </w:rPr>
              <w:t xml:space="preserve"> (</w:t>
            </w:r>
            <w:proofErr w:type="spellStart"/>
            <w:r w:rsidRPr="001F71B9">
              <w:rPr>
                <w:sz w:val="24"/>
                <w:szCs w:val="24"/>
              </w:rPr>
              <w:t>yüzme</w:t>
            </w:r>
            <w:proofErr w:type="spellEnd"/>
            <w:r w:rsidRPr="001F71B9">
              <w:rPr>
                <w:sz w:val="24"/>
                <w:szCs w:val="24"/>
              </w:rPr>
              <w:t xml:space="preserve"> </w:t>
            </w:r>
            <w:proofErr w:type="spellStart"/>
            <w:r w:rsidRPr="001F71B9">
              <w:rPr>
                <w:sz w:val="24"/>
                <w:szCs w:val="24"/>
              </w:rPr>
              <w:t>kıyafeti</w:t>
            </w:r>
            <w:proofErr w:type="spellEnd"/>
            <w:r w:rsidRPr="001F71B9">
              <w:rPr>
                <w:sz w:val="24"/>
                <w:szCs w:val="24"/>
              </w:rPr>
              <w:t xml:space="preserve"> </w:t>
            </w:r>
            <w:proofErr w:type="spellStart"/>
            <w:r w:rsidRPr="001F71B9">
              <w:rPr>
                <w:sz w:val="24"/>
                <w:szCs w:val="24"/>
              </w:rPr>
              <w:t>hariç</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676.223</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611.854</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806.077</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390"/>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2709</w:t>
            </w:r>
          </w:p>
        </w:tc>
        <w:tc>
          <w:tcPr>
            <w:tcW w:w="3597" w:type="dxa"/>
            <w:vAlign w:val="center"/>
            <w:hideMark/>
          </w:tcPr>
          <w:p w:rsidR="00BE1168" w:rsidRPr="001F71B9" w:rsidRDefault="00BE1168" w:rsidP="00BF3486">
            <w:pPr>
              <w:pStyle w:val="NoSpacing"/>
              <w:jc w:val="center"/>
              <w:rPr>
                <w:sz w:val="24"/>
                <w:szCs w:val="24"/>
              </w:rPr>
            </w:pPr>
            <w:r w:rsidRPr="001F71B9">
              <w:rPr>
                <w:sz w:val="24"/>
                <w:szCs w:val="24"/>
              </w:rPr>
              <w:t xml:space="preserve">Ham petrol (petrol </w:t>
            </w:r>
            <w:proofErr w:type="spellStart"/>
            <w:r w:rsidRPr="001F71B9">
              <w:rPr>
                <w:sz w:val="24"/>
                <w:szCs w:val="24"/>
              </w:rPr>
              <w:t>yağları</w:t>
            </w:r>
            <w:proofErr w:type="spellEnd"/>
            <w:r w:rsidRPr="001F71B9">
              <w:rPr>
                <w:sz w:val="24"/>
                <w:szCs w:val="24"/>
              </w:rPr>
              <w:t xml:space="preserve"> ve </w:t>
            </w:r>
            <w:proofErr w:type="spellStart"/>
            <w:r w:rsidRPr="001F71B9">
              <w:rPr>
                <w:sz w:val="24"/>
                <w:szCs w:val="24"/>
              </w:rPr>
              <w:t>bitümenli</w:t>
            </w:r>
            <w:proofErr w:type="spellEnd"/>
            <w:r w:rsidRPr="001F71B9">
              <w:rPr>
                <w:sz w:val="24"/>
                <w:szCs w:val="24"/>
              </w:rPr>
              <w:t xml:space="preserve"> </w:t>
            </w:r>
            <w:proofErr w:type="spellStart"/>
            <w:r w:rsidRPr="001F71B9">
              <w:rPr>
                <w:sz w:val="24"/>
                <w:szCs w:val="24"/>
              </w:rPr>
              <w:t>minerallerden</w:t>
            </w:r>
            <w:proofErr w:type="spellEnd"/>
            <w:r w:rsidRPr="001F71B9">
              <w:rPr>
                <w:sz w:val="24"/>
                <w:szCs w:val="24"/>
              </w:rPr>
              <w:t xml:space="preserve"> </w:t>
            </w:r>
            <w:proofErr w:type="spellStart"/>
            <w:r w:rsidRPr="001F71B9">
              <w:rPr>
                <w:sz w:val="24"/>
                <w:szCs w:val="24"/>
              </w:rPr>
              <w:t>elde</w:t>
            </w:r>
            <w:proofErr w:type="spellEnd"/>
            <w:r w:rsidRPr="001F71B9">
              <w:rPr>
                <w:sz w:val="24"/>
                <w:szCs w:val="24"/>
              </w:rPr>
              <w:t xml:space="preserve"> </w:t>
            </w:r>
            <w:proofErr w:type="spellStart"/>
            <w:r w:rsidRPr="001F71B9">
              <w:rPr>
                <w:sz w:val="24"/>
                <w:szCs w:val="24"/>
              </w:rPr>
              <w:t>edilen</w:t>
            </w:r>
            <w:proofErr w:type="spellEnd"/>
            <w:r w:rsidRPr="001F71B9">
              <w:rPr>
                <w:sz w:val="24"/>
                <w:szCs w:val="24"/>
              </w:rPr>
              <w:t xml:space="preserve"> </w:t>
            </w:r>
            <w:proofErr w:type="spellStart"/>
            <w:r w:rsidRPr="001F71B9">
              <w:rPr>
                <w:sz w:val="24"/>
                <w:szCs w:val="24"/>
              </w:rPr>
              <w:t>yağlar</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1.748.136</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1.439.944</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551.269</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225"/>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6204</w:t>
            </w:r>
          </w:p>
        </w:tc>
        <w:tc>
          <w:tcPr>
            <w:tcW w:w="3597" w:type="dxa"/>
            <w:vAlign w:val="center"/>
            <w:hideMark/>
          </w:tcPr>
          <w:p w:rsidR="00BE1168" w:rsidRPr="001F71B9" w:rsidRDefault="00BE1168" w:rsidP="00BF3486">
            <w:pPr>
              <w:pStyle w:val="NoSpacing"/>
              <w:jc w:val="center"/>
              <w:rPr>
                <w:sz w:val="24"/>
                <w:szCs w:val="24"/>
              </w:rPr>
            </w:pPr>
            <w:proofErr w:type="spellStart"/>
            <w:r w:rsidRPr="001F71B9">
              <w:rPr>
                <w:sz w:val="24"/>
                <w:szCs w:val="24"/>
              </w:rPr>
              <w:t>Kadınlar</w:t>
            </w:r>
            <w:proofErr w:type="spellEnd"/>
            <w:r w:rsidRPr="001F71B9">
              <w:rPr>
                <w:sz w:val="24"/>
                <w:szCs w:val="24"/>
              </w:rPr>
              <w:t xml:space="preserve"> ve </w:t>
            </w:r>
            <w:proofErr w:type="spellStart"/>
            <w:r w:rsidRPr="001F71B9">
              <w:rPr>
                <w:sz w:val="24"/>
                <w:szCs w:val="24"/>
              </w:rPr>
              <w:t>kız</w:t>
            </w:r>
            <w:proofErr w:type="spellEnd"/>
            <w:r w:rsidRPr="001F71B9">
              <w:rPr>
                <w:sz w:val="24"/>
                <w:szCs w:val="24"/>
              </w:rPr>
              <w:t xml:space="preserve"> </w:t>
            </w:r>
            <w:proofErr w:type="spellStart"/>
            <w:r w:rsidRPr="001F71B9">
              <w:rPr>
                <w:sz w:val="24"/>
                <w:szCs w:val="24"/>
              </w:rPr>
              <w:t>çocuk</w:t>
            </w:r>
            <w:proofErr w:type="spellEnd"/>
            <w:r w:rsidRPr="001F71B9">
              <w:rPr>
                <w:sz w:val="24"/>
                <w:szCs w:val="24"/>
              </w:rPr>
              <w:t xml:space="preserve"> </w:t>
            </w:r>
            <w:proofErr w:type="spellStart"/>
            <w:r w:rsidRPr="001F71B9">
              <w:rPr>
                <w:sz w:val="24"/>
                <w:szCs w:val="24"/>
              </w:rPr>
              <w:t>için</w:t>
            </w:r>
            <w:proofErr w:type="spellEnd"/>
            <w:r w:rsidRPr="001F71B9">
              <w:rPr>
                <w:sz w:val="24"/>
                <w:szCs w:val="24"/>
              </w:rPr>
              <w:t xml:space="preserve"> </w:t>
            </w:r>
            <w:proofErr w:type="spellStart"/>
            <w:r w:rsidRPr="001F71B9">
              <w:rPr>
                <w:sz w:val="24"/>
                <w:szCs w:val="24"/>
              </w:rPr>
              <w:t>takım</w:t>
            </w:r>
            <w:proofErr w:type="spellEnd"/>
            <w:r w:rsidRPr="001F71B9">
              <w:rPr>
                <w:sz w:val="24"/>
                <w:szCs w:val="24"/>
              </w:rPr>
              <w:t xml:space="preserve"> </w:t>
            </w:r>
            <w:proofErr w:type="spellStart"/>
            <w:r w:rsidRPr="001F71B9">
              <w:rPr>
                <w:sz w:val="24"/>
                <w:szCs w:val="24"/>
              </w:rPr>
              <w:t>elbise</w:t>
            </w:r>
            <w:proofErr w:type="spellEnd"/>
            <w:r w:rsidRPr="001F71B9">
              <w:rPr>
                <w:sz w:val="24"/>
                <w:szCs w:val="24"/>
              </w:rPr>
              <w:t xml:space="preserve">, </w:t>
            </w:r>
            <w:proofErr w:type="spellStart"/>
            <w:r w:rsidRPr="001F71B9">
              <w:rPr>
                <w:sz w:val="24"/>
                <w:szCs w:val="24"/>
              </w:rPr>
              <w:t>takım</w:t>
            </w:r>
            <w:proofErr w:type="spellEnd"/>
            <w:r w:rsidRPr="001F71B9">
              <w:rPr>
                <w:sz w:val="24"/>
                <w:szCs w:val="24"/>
              </w:rPr>
              <w:t xml:space="preserve">, </w:t>
            </w:r>
            <w:proofErr w:type="spellStart"/>
            <w:r w:rsidRPr="001F71B9">
              <w:rPr>
                <w:sz w:val="24"/>
                <w:szCs w:val="24"/>
              </w:rPr>
              <w:t>ceket</w:t>
            </w:r>
            <w:proofErr w:type="spellEnd"/>
            <w:r w:rsidRPr="001F71B9">
              <w:rPr>
                <w:sz w:val="24"/>
                <w:szCs w:val="24"/>
              </w:rPr>
              <w:t xml:space="preserve">, blazer, </w:t>
            </w:r>
            <w:proofErr w:type="spellStart"/>
            <w:r w:rsidRPr="001F71B9">
              <w:rPr>
                <w:sz w:val="24"/>
                <w:szCs w:val="24"/>
              </w:rPr>
              <w:t>elbise</w:t>
            </w:r>
            <w:proofErr w:type="spellEnd"/>
            <w:r w:rsidRPr="001F71B9">
              <w:rPr>
                <w:sz w:val="24"/>
                <w:szCs w:val="24"/>
              </w:rPr>
              <w:t xml:space="preserve">, </w:t>
            </w:r>
            <w:proofErr w:type="spellStart"/>
            <w:r w:rsidRPr="001F71B9">
              <w:rPr>
                <w:sz w:val="24"/>
                <w:szCs w:val="24"/>
              </w:rPr>
              <w:t>etek</w:t>
            </w:r>
            <w:proofErr w:type="spellEnd"/>
            <w:r w:rsidRPr="001F71B9">
              <w:rPr>
                <w:sz w:val="24"/>
                <w:szCs w:val="24"/>
              </w:rPr>
              <w:t xml:space="preserve">, </w:t>
            </w:r>
            <w:proofErr w:type="spellStart"/>
            <w:r w:rsidRPr="001F71B9">
              <w:rPr>
                <w:sz w:val="24"/>
                <w:szCs w:val="24"/>
              </w:rPr>
              <w:t>pantolon</w:t>
            </w:r>
            <w:proofErr w:type="spellEnd"/>
            <w:r w:rsidRPr="001F71B9">
              <w:rPr>
                <w:sz w:val="24"/>
                <w:szCs w:val="24"/>
              </w:rPr>
              <w:t xml:space="preserve"> </w:t>
            </w:r>
            <w:proofErr w:type="spellStart"/>
            <w:r w:rsidRPr="001F71B9">
              <w:rPr>
                <w:sz w:val="24"/>
                <w:szCs w:val="24"/>
              </w:rPr>
              <w:t>etek</w:t>
            </w:r>
            <w:proofErr w:type="spellEnd"/>
            <w:r w:rsidRPr="001F71B9">
              <w:rPr>
                <w:sz w:val="24"/>
                <w:szCs w:val="24"/>
              </w:rPr>
              <w:t>, vb.(</w:t>
            </w:r>
            <w:proofErr w:type="spellStart"/>
            <w:r w:rsidRPr="001F71B9">
              <w:rPr>
                <w:sz w:val="24"/>
                <w:szCs w:val="24"/>
              </w:rPr>
              <w:t>yüzme</w:t>
            </w:r>
            <w:proofErr w:type="spellEnd"/>
            <w:r w:rsidRPr="001F71B9">
              <w:rPr>
                <w:sz w:val="24"/>
                <w:szCs w:val="24"/>
              </w:rPr>
              <w:t xml:space="preserve"> </w:t>
            </w:r>
            <w:proofErr w:type="spellStart"/>
            <w:r w:rsidRPr="001F71B9">
              <w:rPr>
                <w:sz w:val="24"/>
                <w:szCs w:val="24"/>
              </w:rPr>
              <w:t>kıyafetleri</w:t>
            </w:r>
            <w:proofErr w:type="spellEnd"/>
            <w:r w:rsidRPr="001F71B9">
              <w:rPr>
                <w:sz w:val="24"/>
                <w:szCs w:val="24"/>
              </w:rPr>
              <w:t xml:space="preserve"> </w:t>
            </w:r>
            <w:proofErr w:type="spellStart"/>
            <w:r w:rsidRPr="001F71B9">
              <w:rPr>
                <w:sz w:val="24"/>
                <w:szCs w:val="24"/>
              </w:rPr>
              <w:t>hariç</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267.094</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291.583</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548.898</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r w:rsidR="00BE1168" w:rsidRPr="001F71B9" w:rsidTr="00C85E2A">
        <w:trPr>
          <w:trHeight w:val="225"/>
        </w:trPr>
        <w:tc>
          <w:tcPr>
            <w:tcW w:w="734" w:type="dxa"/>
            <w:vAlign w:val="center"/>
            <w:hideMark/>
          </w:tcPr>
          <w:p w:rsidR="00BE1168" w:rsidRPr="001F71B9" w:rsidRDefault="00BE1168" w:rsidP="00BF3486">
            <w:pPr>
              <w:pStyle w:val="NoSpacing"/>
              <w:jc w:val="center"/>
              <w:rPr>
                <w:sz w:val="24"/>
                <w:szCs w:val="24"/>
              </w:rPr>
            </w:pPr>
            <w:r w:rsidRPr="001F71B9">
              <w:rPr>
                <w:sz w:val="24"/>
                <w:szCs w:val="24"/>
              </w:rPr>
              <w:t>8536</w:t>
            </w:r>
          </w:p>
        </w:tc>
        <w:tc>
          <w:tcPr>
            <w:tcW w:w="3597" w:type="dxa"/>
            <w:vAlign w:val="center"/>
            <w:hideMark/>
          </w:tcPr>
          <w:p w:rsidR="00BE1168" w:rsidRPr="001F71B9" w:rsidRDefault="00BE1168" w:rsidP="00BF3486">
            <w:pPr>
              <w:pStyle w:val="NoSpacing"/>
              <w:jc w:val="center"/>
              <w:rPr>
                <w:sz w:val="24"/>
                <w:szCs w:val="24"/>
              </w:rPr>
            </w:pPr>
            <w:proofErr w:type="spellStart"/>
            <w:r w:rsidRPr="001F71B9">
              <w:rPr>
                <w:sz w:val="24"/>
                <w:szCs w:val="24"/>
              </w:rPr>
              <w:t>Gerilimi</w:t>
            </w:r>
            <w:proofErr w:type="spellEnd"/>
            <w:r w:rsidRPr="001F71B9">
              <w:rPr>
                <w:sz w:val="24"/>
                <w:szCs w:val="24"/>
              </w:rPr>
              <w:t xml:space="preserve"> 1000 </w:t>
            </w:r>
            <w:proofErr w:type="spellStart"/>
            <w:r w:rsidRPr="001F71B9">
              <w:rPr>
                <w:sz w:val="24"/>
                <w:szCs w:val="24"/>
              </w:rPr>
              <w:t>voltu</w:t>
            </w:r>
            <w:proofErr w:type="spellEnd"/>
            <w:r w:rsidRPr="001F71B9">
              <w:rPr>
                <w:sz w:val="24"/>
                <w:szCs w:val="24"/>
              </w:rPr>
              <w:t xml:space="preserve"> </w:t>
            </w:r>
            <w:proofErr w:type="spellStart"/>
            <w:r w:rsidRPr="001F71B9">
              <w:rPr>
                <w:sz w:val="24"/>
                <w:szCs w:val="24"/>
              </w:rPr>
              <w:t>geçmeyen</w:t>
            </w:r>
            <w:proofErr w:type="spellEnd"/>
            <w:r w:rsidRPr="001F71B9">
              <w:rPr>
                <w:sz w:val="24"/>
                <w:szCs w:val="24"/>
              </w:rPr>
              <w:t xml:space="preserve"> </w:t>
            </w: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devresi</w:t>
            </w:r>
            <w:proofErr w:type="spellEnd"/>
            <w:r w:rsidRPr="001F71B9">
              <w:rPr>
                <w:sz w:val="24"/>
                <w:szCs w:val="24"/>
              </w:rPr>
              <w:t xml:space="preserve"> </w:t>
            </w:r>
            <w:proofErr w:type="spellStart"/>
            <w:r w:rsidRPr="001F71B9">
              <w:rPr>
                <w:sz w:val="24"/>
                <w:szCs w:val="24"/>
              </w:rPr>
              <w:t>teçhizatı</w:t>
            </w:r>
            <w:proofErr w:type="spellEnd"/>
            <w:r w:rsidRPr="001F71B9">
              <w:rPr>
                <w:sz w:val="24"/>
                <w:szCs w:val="24"/>
              </w:rPr>
              <w:t xml:space="preserve"> (</w:t>
            </w:r>
            <w:proofErr w:type="spellStart"/>
            <w:r w:rsidRPr="001F71B9">
              <w:rPr>
                <w:sz w:val="24"/>
                <w:szCs w:val="24"/>
              </w:rPr>
              <w:t>anahtarlar</w:t>
            </w:r>
            <w:proofErr w:type="spellEnd"/>
            <w:r w:rsidRPr="001F71B9">
              <w:rPr>
                <w:sz w:val="24"/>
                <w:szCs w:val="24"/>
              </w:rPr>
              <w:t xml:space="preserve">, </w:t>
            </w:r>
            <w:proofErr w:type="spellStart"/>
            <w:r w:rsidRPr="001F71B9">
              <w:rPr>
                <w:sz w:val="24"/>
                <w:szCs w:val="24"/>
              </w:rPr>
              <w:t>röleler</w:t>
            </w:r>
            <w:proofErr w:type="spellEnd"/>
            <w:r w:rsidRPr="001F71B9">
              <w:rPr>
                <w:sz w:val="24"/>
                <w:szCs w:val="24"/>
              </w:rPr>
              <w:t xml:space="preserve">, </w:t>
            </w:r>
            <w:proofErr w:type="spellStart"/>
            <w:r w:rsidRPr="001F71B9">
              <w:rPr>
                <w:sz w:val="24"/>
                <w:szCs w:val="24"/>
              </w:rPr>
              <w:t>sigortalar</w:t>
            </w:r>
            <w:proofErr w:type="spellEnd"/>
            <w:r w:rsidRPr="001F71B9">
              <w:rPr>
                <w:sz w:val="24"/>
                <w:szCs w:val="24"/>
              </w:rPr>
              <w:t xml:space="preserve">, </w:t>
            </w:r>
            <w:proofErr w:type="spellStart"/>
            <w:r w:rsidRPr="001F71B9">
              <w:rPr>
                <w:sz w:val="24"/>
                <w:szCs w:val="24"/>
              </w:rPr>
              <w:t>fişler</w:t>
            </w:r>
            <w:proofErr w:type="spellEnd"/>
            <w:r w:rsidRPr="001F71B9">
              <w:rPr>
                <w:sz w:val="24"/>
                <w:szCs w:val="24"/>
              </w:rPr>
              <w:t xml:space="preserve">, </w:t>
            </w:r>
            <w:proofErr w:type="spellStart"/>
            <w:r w:rsidRPr="001F71B9">
              <w:rPr>
                <w:sz w:val="24"/>
                <w:szCs w:val="24"/>
              </w:rPr>
              <w:t>kutular</w:t>
            </w:r>
            <w:proofErr w:type="spellEnd"/>
            <w:r w:rsidRPr="001F71B9">
              <w:rPr>
                <w:sz w:val="24"/>
                <w:szCs w:val="24"/>
              </w:rPr>
              <w:t xml:space="preserve"> </w:t>
            </w:r>
            <w:proofErr w:type="spellStart"/>
            <w:r w:rsidRPr="001F71B9">
              <w:rPr>
                <w:sz w:val="24"/>
                <w:szCs w:val="24"/>
              </w:rPr>
              <w:t>vb</w:t>
            </w:r>
            <w:proofErr w:type="spellEnd"/>
            <w:r w:rsidRPr="001F71B9">
              <w:rPr>
                <w:sz w:val="24"/>
                <w:szCs w:val="24"/>
              </w:rPr>
              <w:t>)</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440.605</w:t>
            </w:r>
          </w:p>
        </w:tc>
        <w:tc>
          <w:tcPr>
            <w:tcW w:w="1322" w:type="dxa"/>
            <w:vAlign w:val="center"/>
            <w:hideMark/>
          </w:tcPr>
          <w:p w:rsidR="00BE1168" w:rsidRPr="001F71B9" w:rsidRDefault="00BE1168" w:rsidP="00BF3486">
            <w:pPr>
              <w:pStyle w:val="NoSpacing"/>
              <w:jc w:val="center"/>
              <w:rPr>
                <w:sz w:val="24"/>
                <w:szCs w:val="24"/>
              </w:rPr>
            </w:pPr>
            <w:r w:rsidRPr="001F71B9">
              <w:rPr>
                <w:sz w:val="24"/>
                <w:szCs w:val="24"/>
              </w:rPr>
              <w:t>460.343</w:t>
            </w:r>
          </w:p>
        </w:tc>
        <w:tc>
          <w:tcPr>
            <w:tcW w:w="1336" w:type="dxa"/>
            <w:vAlign w:val="center"/>
            <w:hideMark/>
          </w:tcPr>
          <w:p w:rsidR="00BE1168" w:rsidRPr="001F71B9" w:rsidRDefault="00BE1168" w:rsidP="00BF3486">
            <w:pPr>
              <w:pStyle w:val="NoSpacing"/>
              <w:jc w:val="center"/>
              <w:rPr>
                <w:sz w:val="24"/>
                <w:szCs w:val="24"/>
              </w:rPr>
            </w:pPr>
            <w:r w:rsidRPr="001F71B9">
              <w:rPr>
                <w:sz w:val="24"/>
                <w:szCs w:val="24"/>
              </w:rPr>
              <w:t>485.651</w:t>
            </w:r>
          </w:p>
        </w:tc>
        <w:tc>
          <w:tcPr>
            <w:tcW w:w="1336" w:type="dxa"/>
            <w:vAlign w:val="center"/>
          </w:tcPr>
          <w:p w:rsidR="00BE1168" w:rsidRPr="001F71B9" w:rsidRDefault="00BE1168" w:rsidP="00BF3486">
            <w:pPr>
              <w:pStyle w:val="NoSpacing"/>
              <w:jc w:val="center"/>
              <w:rPr>
                <w:sz w:val="24"/>
                <w:szCs w:val="24"/>
              </w:rPr>
            </w:pPr>
            <w:r w:rsidRPr="001F71B9">
              <w:rPr>
                <w:sz w:val="24"/>
                <w:szCs w:val="24"/>
              </w:rPr>
              <w:t>-</w:t>
            </w:r>
          </w:p>
        </w:tc>
      </w:tr>
    </w:tbl>
    <w:p w:rsidR="00BE1168" w:rsidRPr="001F71B9" w:rsidRDefault="00BE1168" w:rsidP="00BF3486">
      <w:pPr>
        <w:pStyle w:val="Quote"/>
        <w:spacing w:after="0" w:line="240" w:lineRule="auto"/>
        <w:rPr>
          <w:sz w:val="24"/>
          <w:szCs w:val="24"/>
        </w:rPr>
      </w:pPr>
      <w:r w:rsidRPr="001F71B9">
        <w:rPr>
          <w:sz w:val="24"/>
          <w:szCs w:val="24"/>
        </w:rPr>
        <w:t xml:space="preserve">Kaynak: ITC Trademap, (*) Yansıtılmış veriler. </w:t>
      </w:r>
    </w:p>
    <w:p w:rsidR="00BF3486" w:rsidRDefault="00BF3486" w:rsidP="00BF3486">
      <w:pPr>
        <w:pStyle w:val="Heading1"/>
        <w:spacing w:before="0" w:line="240" w:lineRule="auto"/>
        <w:rPr>
          <w:rFonts w:asciiTheme="minorHAnsi" w:hAnsiTheme="minorHAnsi"/>
          <w:sz w:val="24"/>
          <w:szCs w:val="24"/>
        </w:rPr>
      </w:pPr>
      <w:bookmarkStart w:id="21" w:name="_Toc482353119"/>
    </w:p>
    <w:p w:rsidR="00A17E9E" w:rsidRPr="001F71B9" w:rsidRDefault="00A17E9E" w:rsidP="00BF3486">
      <w:pPr>
        <w:pStyle w:val="Heading1"/>
        <w:spacing w:before="0" w:line="240" w:lineRule="auto"/>
        <w:rPr>
          <w:rFonts w:asciiTheme="minorHAnsi" w:hAnsiTheme="minorHAnsi"/>
          <w:sz w:val="24"/>
          <w:szCs w:val="24"/>
        </w:rPr>
      </w:pPr>
      <w:r w:rsidRPr="001F71B9">
        <w:rPr>
          <w:rFonts w:asciiTheme="minorHAnsi" w:hAnsiTheme="minorHAnsi"/>
          <w:sz w:val="24"/>
          <w:szCs w:val="24"/>
        </w:rPr>
        <w:t>Türkiye ile Ekonomik ve Ticari İlişkiler</w:t>
      </w:r>
      <w:bookmarkEnd w:id="21"/>
    </w:p>
    <w:p w:rsidR="00BE1168" w:rsidRPr="001F71B9" w:rsidRDefault="00BE1168" w:rsidP="00BF3486">
      <w:pPr>
        <w:spacing w:after="0" w:line="240" w:lineRule="auto"/>
        <w:jc w:val="both"/>
        <w:rPr>
          <w:sz w:val="24"/>
          <w:szCs w:val="24"/>
        </w:rPr>
      </w:pPr>
      <w:r w:rsidRPr="001F71B9">
        <w:rPr>
          <w:rFonts w:cs="Times New Roman"/>
          <w:sz w:val="24"/>
          <w:szCs w:val="24"/>
        </w:rPr>
        <w:t>Türkiye ile Tunus arasındaki ticari ilişkiyi geçmiş yıllar boyunca incelediğimizde, ticaretin ülkemiz lehine bakiye verdiği görülmektedir. 2000 yılında ikili ticarette Türkiye lehine dış ticaret fazlası 97 milyon ABD Doları iken, 2014 yılında dış ticaret fazlası 6 katın üzerinde artarak 718 milyon ABD dolarına ulaşmıştır.  2000 yılında ikili ticarette Türkiye lehine dış ticaret fazlası 97 milyon ABD Doları iken, 2016 yılında dış ticaret fazlası 6 katın üzerinde artarak 696 milyon ABD dolarına ulaşmıştır.</w:t>
      </w:r>
    </w:p>
    <w:p w:rsidR="00C85E2A" w:rsidRPr="001F71B9" w:rsidRDefault="00C85E2A" w:rsidP="00BF3486">
      <w:pPr>
        <w:spacing w:after="0" w:line="240" w:lineRule="auto"/>
        <w:rPr>
          <w:rFonts w:eastAsiaTheme="majorEastAsia" w:cstheme="majorBidi"/>
          <w:b/>
          <w:bCs/>
          <w:color w:val="4F81BD" w:themeColor="accent1"/>
          <w:sz w:val="24"/>
          <w:szCs w:val="24"/>
        </w:rPr>
      </w:pPr>
      <w:r w:rsidRPr="001F71B9">
        <w:rPr>
          <w:sz w:val="24"/>
          <w:szCs w:val="24"/>
        </w:rPr>
        <w:br w:type="page"/>
      </w:r>
    </w:p>
    <w:p w:rsidR="00A17E9E" w:rsidRPr="001F71B9" w:rsidRDefault="00A17E9E" w:rsidP="00BF3486">
      <w:pPr>
        <w:pStyle w:val="Heading2"/>
        <w:spacing w:before="0" w:line="240" w:lineRule="auto"/>
        <w:rPr>
          <w:rFonts w:asciiTheme="minorHAnsi" w:hAnsiTheme="minorHAnsi"/>
          <w:sz w:val="24"/>
          <w:szCs w:val="24"/>
        </w:rPr>
      </w:pPr>
      <w:bookmarkStart w:id="22" w:name="_Toc482353120"/>
      <w:r w:rsidRPr="001F71B9">
        <w:rPr>
          <w:rFonts w:asciiTheme="minorHAnsi" w:hAnsiTheme="minorHAnsi"/>
          <w:sz w:val="24"/>
          <w:szCs w:val="24"/>
        </w:rPr>
        <w:lastRenderedPageBreak/>
        <w:t>Türkiye ile İkili Ticaret</w:t>
      </w:r>
      <w:bookmarkEnd w:id="22"/>
    </w:p>
    <w:tbl>
      <w:tblPr>
        <w:tblStyle w:val="TableGrid"/>
        <w:tblW w:w="9600" w:type="dxa"/>
        <w:tblLook w:val="04A0" w:firstRow="1" w:lastRow="0" w:firstColumn="1" w:lastColumn="0" w:noHBand="0" w:noVBand="1"/>
      </w:tblPr>
      <w:tblGrid>
        <w:gridCol w:w="2568"/>
        <w:gridCol w:w="1758"/>
        <w:gridCol w:w="1758"/>
        <w:gridCol w:w="1758"/>
        <w:gridCol w:w="1758"/>
      </w:tblGrid>
      <w:tr w:rsidR="00BE1168" w:rsidRPr="001F71B9" w:rsidTr="00BE1168">
        <w:tc>
          <w:tcPr>
            <w:tcW w:w="2568" w:type="dxa"/>
            <w:vAlign w:val="center"/>
            <w:hideMark/>
          </w:tcPr>
          <w:p w:rsidR="00BE1168" w:rsidRPr="001F71B9" w:rsidRDefault="00BE1168" w:rsidP="00BF3486">
            <w:pPr>
              <w:jc w:val="center"/>
              <w:rPr>
                <w:rFonts w:cs="Times New Roman"/>
                <w:b/>
                <w:sz w:val="24"/>
                <w:szCs w:val="24"/>
                <w:lang w:eastAsia="tr-TR"/>
              </w:rPr>
            </w:pPr>
            <w:r w:rsidRPr="001F71B9">
              <w:rPr>
                <w:rFonts w:cs="Times New Roman"/>
                <w:b/>
                <w:sz w:val="24"/>
                <w:szCs w:val="24"/>
                <w:lang w:eastAsia="tr-TR"/>
              </w:rPr>
              <w:t>YILLAR</w:t>
            </w:r>
          </w:p>
        </w:tc>
        <w:tc>
          <w:tcPr>
            <w:tcW w:w="1758" w:type="dxa"/>
            <w:vAlign w:val="center"/>
            <w:hideMark/>
          </w:tcPr>
          <w:p w:rsidR="00BE1168" w:rsidRPr="001F71B9" w:rsidRDefault="00BE1168" w:rsidP="00BF3486">
            <w:pPr>
              <w:jc w:val="center"/>
              <w:rPr>
                <w:rFonts w:cs="Times New Roman"/>
                <w:b/>
                <w:sz w:val="24"/>
                <w:szCs w:val="24"/>
                <w:lang w:eastAsia="tr-TR"/>
              </w:rPr>
            </w:pPr>
            <w:r w:rsidRPr="001F71B9">
              <w:rPr>
                <w:rFonts w:cs="Times New Roman"/>
                <w:b/>
                <w:sz w:val="24"/>
                <w:szCs w:val="24"/>
                <w:lang w:eastAsia="tr-TR"/>
              </w:rPr>
              <w:t>İHRACAT</w:t>
            </w:r>
          </w:p>
        </w:tc>
        <w:tc>
          <w:tcPr>
            <w:tcW w:w="1758" w:type="dxa"/>
            <w:vAlign w:val="center"/>
            <w:hideMark/>
          </w:tcPr>
          <w:p w:rsidR="00BE1168" w:rsidRPr="001F71B9" w:rsidRDefault="00BE1168" w:rsidP="00BF3486">
            <w:pPr>
              <w:jc w:val="center"/>
              <w:rPr>
                <w:rFonts w:cs="Times New Roman"/>
                <w:b/>
                <w:sz w:val="24"/>
                <w:szCs w:val="24"/>
                <w:lang w:eastAsia="tr-TR"/>
              </w:rPr>
            </w:pPr>
            <w:r w:rsidRPr="001F71B9">
              <w:rPr>
                <w:rFonts w:cs="Times New Roman"/>
                <w:b/>
                <w:sz w:val="24"/>
                <w:szCs w:val="24"/>
                <w:lang w:eastAsia="tr-TR"/>
              </w:rPr>
              <w:t>İTHALAT</w:t>
            </w:r>
          </w:p>
        </w:tc>
        <w:tc>
          <w:tcPr>
            <w:tcW w:w="1758" w:type="dxa"/>
            <w:vAlign w:val="center"/>
            <w:hideMark/>
          </w:tcPr>
          <w:p w:rsidR="00BE1168" w:rsidRPr="001F71B9" w:rsidRDefault="00BE1168" w:rsidP="00BF3486">
            <w:pPr>
              <w:jc w:val="center"/>
              <w:rPr>
                <w:rFonts w:cs="Times New Roman"/>
                <w:b/>
                <w:sz w:val="24"/>
                <w:szCs w:val="24"/>
                <w:lang w:eastAsia="tr-TR"/>
              </w:rPr>
            </w:pPr>
            <w:r w:rsidRPr="001F71B9">
              <w:rPr>
                <w:rFonts w:cs="Times New Roman"/>
                <w:b/>
                <w:sz w:val="24"/>
                <w:szCs w:val="24"/>
                <w:lang w:eastAsia="tr-TR"/>
              </w:rPr>
              <w:t>HACİM</w:t>
            </w:r>
          </w:p>
        </w:tc>
        <w:tc>
          <w:tcPr>
            <w:tcW w:w="1758" w:type="dxa"/>
            <w:vAlign w:val="center"/>
            <w:hideMark/>
          </w:tcPr>
          <w:p w:rsidR="00BE1168" w:rsidRPr="001F71B9" w:rsidRDefault="00BE1168" w:rsidP="00BF3486">
            <w:pPr>
              <w:jc w:val="center"/>
              <w:rPr>
                <w:rFonts w:cs="Times New Roman"/>
                <w:b/>
                <w:sz w:val="24"/>
                <w:szCs w:val="24"/>
                <w:lang w:eastAsia="tr-TR"/>
              </w:rPr>
            </w:pPr>
            <w:r w:rsidRPr="001F71B9">
              <w:rPr>
                <w:rFonts w:cs="Times New Roman"/>
                <w:b/>
                <w:sz w:val="24"/>
                <w:szCs w:val="24"/>
                <w:lang w:eastAsia="tr-TR"/>
              </w:rPr>
              <w:t>DENGE</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162.271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64.842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227.113</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97.429</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140.592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72.935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213.527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67.657</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121.141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71.800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192.941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49.341</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2003</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220.015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98.139</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318.154</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121.876</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2004</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256.162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100.409</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356.571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155.753</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294.785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117.372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412.158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177.413</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2006</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324.893</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150.094</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474.987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174.799</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530.277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229.788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760.065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300.489</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778.098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365.381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1.143.480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412.717</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2009</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647.082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234.980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882.062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412.102</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713.631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280.720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994.351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432.911</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802.791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249.789</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1.052.580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553.001</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796.738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195.624</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992.362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601.114</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2013</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892.157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289.268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1.181.425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602.889</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2014</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915.092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196.697</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1.111.789</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718.394</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820.028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144.078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964.106</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675.951</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2015 (Ocak-Ağustos)</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554.161</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102.135</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656.296</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452.026</w:t>
            </w:r>
          </w:p>
        </w:tc>
      </w:tr>
      <w:tr w:rsidR="00BE1168" w:rsidRPr="001F71B9" w:rsidTr="00BE1168">
        <w:tc>
          <w:tcPr>
            <w:tcW w:w="256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2016 (Ocak-Ağustos)</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613.542</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154.478</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768.020</w:t>
            </w:r>
          </w:p>
        </w:tc>
        <w:tc>
          <w:tcPr>
            <w:tcW w:w="1758" w:type="dxa"/>
            <w:vAlign w:val="center"/>
            <w:hideMark/>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459.064</w:t>
            </w:r>
          </w:p>
        </w:tc>
      </w:tr>
      <w:tr w:rsidR="00BE1168" w:rsidRPr="001F71B9" w:rsidTr="00BE1168">
        <w:tc>
          <w:tcPr>
            <w:tcW w:w="2568" w:type="dxa"/>
            <w:vAlign w:val="center"/>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2017 (Ocak)</w:t>
            </w:r>
          </w:p>
        </w:tc>
        <w:tc>
          <w:tcPr>
            <w:tcW w:w="1758" w:type="dxa"/>
            <w:vAlign w:val="center"/>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63.801</w:t>
            </w:r>
          </w:p>
        </w:tc>
        <w:tc>
          <w:tcPr>
            <w:tcW w:w="1758" w:type="dxa"/>
            <w:vAlign w:val="center"/>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10.167</w:t>
            </w:r>
          </w:p>
        </w:tc>
        <w:tc>
          <w:tcPr>
            <w:tcW w:w="1758" w:type="dxa"/>
            <w:vAlign w:val="center"/>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73.968</w:t>
            </w:r>
          </w:p>
        </w:tc>
        <w:tc>
          <w:tcPr>
            <w:tcW w:w="1758" w:type="dxa"/>
            <w:vAlign w:val="center"/>
          </w:tcPr>
          <w:p w:rsidR="00BE1168" w:rsidRPr="001F71B9" w:rsidRDefault="00BE1168" w:rsidP="00BF3486">
            <w:pPr>
              <w:jc w:val="center"/>
              <w:rPr>
                <w:rFonts w:cs="Times New Roman"/>
                <w:sz w:val="24"/>
                <w:szCs w:val="24"/>
                <w:lang w:eastAsia="tr-TR"/>
              </w:rPr>
            </w:pPr>
            <w:r w:rsidRPr="001F71B9">
              <w:rPr>
                <w:rFonts w:cs="Times New Roman"/>
                <w:sz w:val="24"/>
                <w:szCs w:val="24"/>
                <w:lang w:eastAsia="tr-TR"/>
              </w:rPr>
              <w:t>53.635</w:t>
            </w:r>
          </w:p>
        </w:tc>
      </w:tr>
    </w:tbl>
    <w:p w:rsidR="00BE1168" w:rsidRDefault="00BE1168" w:rsidP="00BF3486">
      <w:pPr>
        <w:pStyle w:val="Quote"/>
        <w:spacing w:after="0" w:line="240" w:lineRule="auto"/>
        <w:rPr>
          <w:sz w:val="24"/>
          <w:szCs w:val="24"/>
        </w:rPr>
      </w:pPr>
      <w:r w:rsidRPr="001F71B9">
        <w:rPr>
          <w:sz w:val="24"/>
          <w:szCs w:val="24"/>
        </w:rPr>
        <w:t>Kaynak: TÜİK</w:t>
      </w:r>
    </w:p>
    <w:p w:rsidR="00BF3486" w:rsidRPr="00BF3486" w:rsidRDefault="00BF3486" w:rsidP="00BF3486"/>
    <w:p w:rsidR="00A17E9E" w:rsidRPr="001F71B9" w:rsidRDefault="00A17E9E" w:rsidP="00BF3486">
      <w:pPr>
        <w:pStyle w:val="Heading2"/>
        <w:spacing w:before="0" w:line="240" w:lineRule="auto"/>
        <w:rPr>
          <w:rFonts w:asciiTheme="minorHAnsi" w:hAnsiTheme="minorHAnsi"/>
          <w:sz w:val="24"/>
          <w:szCs w:val="24"/>
        </w:rPr>
      </w:pPr>
      <w:bookmarkStart w:id="23" w:name="_Toc482353121"/>
      <w:r w:rsidRPr="001F71B9">
        <w:rPr>
          <w:rFonts w:asciiTheme="minorHAnsi" w:hAnsiTheme="minorHAnsi"/>
          <w:sz w:val="24"/>
          <w:szCs w:val="24"/>
        </w:rPr>
        <w:t xml:space="preserve">Türkiye'nin </w:t>
      </w:r>
      <w:r w:rsidR="00BE1168" w:rsidRPr="001F71B9">
        <w:rPr>
          <w:rFonts w:asciiTheme="minorHAnsi" w:hAnsiTheme="minorHAnsi"/>
          <w:sz w:val="24"/>
          <w:szCs w:val="24"/>
        </w:rPr>
        <w:t>Tunus’a</w:t>
      </w:r>
      <w:r w:rsidR="00C15286" w:rsidRPr="001F71B9">
        <w:rPr>
          <w:rFonts w:asciiTheme="minorHAnsi" w:hAnsiTheme="minorHAnsi"/>
          <w:sz w:val="24"/>
          <w:szCs w:val="24"/>
        </w:rPr>
        <w:t xml:space="preserve"> </w:t>
      </w:r>
      <w:r w:rsidRPr="001F71B9">
        <w:rPr>
          <w:rFonts w:asciiTheme="minorHAnsi" w:hAnsiTheme="minorHAnsi"/>
          <w:sz w:val="24"/>
          <w:szCs w:val="24"/>
        </w:rPr>
        <w:t>İhracatında Başlıca Ürünler (1000$)</w:t>
      </w:r>
      <w:bookmarkEnd w:id="23"/>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Tunus’a zeytinyağı işleme, unlu mamuller işleme tesisi makine ve ekipmanlarının uygun fiyat nedeniyle satılabildiği bilinmektedir. Tunus dış ticaret politikasının genel yaklaşımı ile de uyumlu olmak üzere, Tunus’a tekstil hammaddesi (iplik ve kumaş) ve tekstil makineleri, hububat (Tunus’un açığı bulunmaktadır), tütün ve mamulleri, demir-çelik ürünleri, metal eşya, otomotiv yan sanayi ürünleri, büro makineleri ve haberleşme cihazları, elektrikli ve elektriksiz makineler, ulaşım araçları ihraç edilmektedir. </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2015 yılında Tunus’a ihracatımız bir önceki yıla göre %10,4 oranında azalarak 820 milyon ABD Dolar olarak gerçekleşmiştir.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 xml:space="preserve">2015 yılında Tunus’a ihraç edilen belli başlı ürünler, petrol gazları, pamuklu ve diğer kumaşlar, esya taşımaya mahsus motorlu taşıtlar, kağıt tabakalar, demir veya alaşımsız çelikten yassı ürünler, otomobiller, alüminyum </w:t>
      </w:r>
      <w:proofErr w:type="gramStart"/>
      <w:r w:rsidRPr="001F71B9">
        <w:rPr>
          <w:rFonts w:cs="Times New Roman"/>
          <w:sz w:val="24"/>
          <w:szCs w:val="24"/>
        </w:rPr>
        <w:t>profil</w:t>
      </w:r>
      <w:proofErr w:type="gramEnd"/>
      <w:r w:rsidRPr="001F71B9">
        <w:rPr>
          <w:rFonts w:cs="Times New Roman"/>
          <w:sz w:val="24"/>
          <w:szCs w:val="24"/>
        </w:rPr>
        <w:t xml:space="preserve">, demir veya çelikten profiller, buzdolapları, dondurucular, sentetik filament iplikten dokunmuş kumaşlar, plastik ambalaj malzemeleri ve kabuklu meyvelerdir. </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2016 yılında Tunus’a ihracat bir önceki yıla göre artarak 910 milyon ABD Dolar olarak gerçekleşmiştir. 2016 yılında Tunus’a ihraç edilen belli başlı ürünler, pamuklu kumaşlar, demir veya alaşımsız çelikten yarı mamuller, petrol yağları, kağıt, karton, petrol gazları ve diğer gazlı hidrokarbonlar, örme kumaş, eşya taşımaya ve insan taşımaya mahsus motorlu taşıtlar, otomobiller, demir/ çelikten yassı mamuller ve profillerdir.</w:t>
      </w:r>
    </w:p>
    <w:p w:rsidR="00BE1168" w:rsidRDefault="00BE1168" w:rsidP="00BF3486">
      <w:pPr>
        <w:spacing w:after="0" w:line="240" w:lineRule="auto"/>
        <w:jc w:val="both"/>
        <w:rPr>
          <w:rFonts w:cs="Times New Roman"/>
          <w:sz w:val="24"/>
          <w:szCs w:val="24"/>
        </w:rPr>
      </w:pPr>
      <w:r w:rsidRPr="001F71B9">
        <w:rPr>
          <w:rFonts w:cs="Times New Roman"/>
          <w:sz w:val="24"/>
          <w:szCs w:val="24"/>
        </w:rPr>
        <w:lastRenderedPageBreak/>
        <w:t>Türkiye’nin Tunus’a ihracatı kayıtlı rakamlarla sınırlı değildir. Buna paralel olarak, yılda 50 bini aşkın Tunus vatandaşı alışveriş ve/veya bavul ticareti amacıyla ülkemize gitmektedir. Kesin rakam bulunmamakla birlikte, bu kapsamda yapılan ticaretin miktarının yılda 150-200 milyon ABD Doları'na ulaştığı değerlendirilmektedir. Mevcut koşullarda "bavul ticaretinin" önümüzdeki dönemde belirgin biçimde azalması beklenmemekle birlikte, AB mevzuatına uyum sürecindeki yükümlülüklerimiz çerçevesinde tarafımızdan Tunus vatandaşlarına vize zorunluluğu getirilmesi halinde, bu ticaret olumsuz yönde etkilenebilecektir. Özellikle hazır giyim, deri ürünleri, başta altın olmak üzere ziynet eşyaları ile küçük elektrikli ev aletlerinin bavul ticaretine konu olmaktadır.</w:t>
      </w:r>
    </w:p>
    <w:p w:rsidR="00BF3486" w:rsidRPr="001F71B9" w:rsidRDefault="00BF3486" w:rsidP="00BF3486">
      <w:pPr>
        <w:spacing w:after="0" w:line="240" w:lineRule="auto"/>
        <w:jc w:val="both"/>
        <w:rPr>
          <w:rFonts w:cs="Times New Roman"/>
          <w:sz w:val="24"/>
          <w:szCs w:val="24"/>
        </w:rPr>
      </w:pPr>
    </w:p>
    <w:p w:rsidR="00A17E9E" w:rsidRPr="001F71B9" w:rsidRDefault="00A17E9E" w:rsidP="00BF3486">
      <w:pPr>
        <w:pStyle w:val="Heading2"/>
        <w:spacing w:before="0" w:line="240" w:lineRule="auto"/>
        <w:rPr>
          <w:rFonts w:asciiTheme="minorHAnsi" w:hAnsiTheme="minorHAnsi"/>
          <w:sz w:val="24"/>
          <w:szCs w:val="24"/>
        </w:rPr>
      </w:pPr>
      <w:bookmarkStart w:id="24" w:name="_Toc482353122"/>
      <w:r w:rsidRPr="001F71B9">
        <w:rPr>
          <w:rFonts w:asciiTheme="minorHAnsi" w:hAnsiTheme="minorHAnsi"/>
          <w:sz w:val="24"/>
          <w:szCs w:val="24"/>
        </w:rPr>
        <w:t xml:space="preserve">Türkiye'nin </w:t>
      </w:r>
      <w:r w:rsidR="00BE1168" w:rsidRPr="001F71B9">
        <w:rPr>
          <w:rFonts w:asciiTheme="minorHAnsi" w:hAnsiTheme="minorHAnsi"/>
          <w:sz w:val="24"/>
          <w:szCs w:val="24"/>
        </w:rPr>
        <w:t>Tunus’tan</w:t>
      </w:r>
      <w:r w:rsidR="00D76F28" w:rsidRPr="001F71B9">
        <w:rPr>
          <w:rFonts w:asciiTheme="minorHAnsi" w:hAnsiTheme="minorHAnsi"/>
          <w:sz w:val="24"/>
          <w:szCs w:val="24"/>
        </w:rPr>
        <w:t xml:space="preserve"> </w:t>
      </w:r>
      <w:r w:rsidRPr="001F71B9">
        <w:rPr>
          <w:rFonts w:asciiTheme="minorHAnsi" w:hAnsiTheme="minorHAnsi"/>
          <w:sz w:val="24"/>
          <w:szCs w:val="24"/>
        </w:rPr>
        <w:t>İthalatında Başlıca Ürünler (1000$)</w:t>
      </w:r>
      <w:bookmarkEnd w:id="24"/>
    </w:p>
    <w:p w:rsidR="00BE1168" w:rsidRDefault="00BE1168" w:rsidP="00BF3486">
      <w:pPr>
        <w:spacing w:after="0" w:line="240" w:lineRule="auto"/>
        <w:jc w:val="both"/>
        <w:rPr>
          <w:rFonts w:cs="Times New Roman"/>
          <w:sz w:val="24"/>
          <w:szCs w:val="24"/>
        </w:rPr>
      </w:pPr>
      <w:r w:rsidRPr="001F71B9">
        <w:rPr>
          <w:rFonts w:cs="Times New Roman"/>
          <w:sz w:val="24"/>
          <w:szCs w:val="24"/>
        </w:rPr>
        <w:t>Tunus’un önemli ihraç ürünlerinden fosfat türevleri karşılaştırmalı üstünlüğe sahip görülmektedir. Tunus aynı zamanda tarım ve kimya sektörüne ucuz hammadde sağlanması açısından önem taşımaktadır.</w:t>
      </w:r>
    </w:p>
    <w:p w:rsidR="00BF3486" w:rsidRPr="001F71B9" w:rsidRDefault="00BF3486" w:rsidP="00BF3486">
      <w:pPr>
        <w:spacing w:after="0" w:line="240" w:lineRule="auto"/>
        <w:jc w:val="both"/>
        <w:rPr>
          <w:rFonts w:cs="Times New Roman"/>
          <w:sz w:val="24"/>
          <w:szCs w:val="24"/>
        </w:rPr>
      </w:pPr>
    </w:p>
    <w:p w:rsidR="00BE1168" w:rsidRDefault="00BE1168" w:rsidP="00BF3486">
      <w:pPr>
        <w:spacing w:after="0" w:line="240" w:lineRule="auto"/>
        <w:jc w:val="both"/>
        <w:rPr>
          <w:rFonts w:cs="Times New Roman"/>
          <w:sz w:val="24"/>
          <w:szCs w:val="24"/>
        </w:rPr>
      </w:pPr>
      <w:r w:rsidRPr="001F71B9">
        <w:rPr>
          <w:rFonts w:cs="Times New Roman"/>
          <w:sz w:val="24"/>
          <w:szCs w:val="24"/>
        </w:rPr>
        <w:t>2015 yılında Tunus’tan yapılan ithalat bir önceki yıla nazaran %26,8 oranında azalarak 144 milyon dolar olarak gerçekleşmiştir. 2015 yılında Tunus’tan ithal ettiğimiz başlıca ürünler, fosforik asitler, kimyasal gübre, zeytinyağ, pamuklu kumaşlar, kablolar, elektrik panoları, hurda demir, hurma, ayakkabılar ve hazır giyimdir.</w:t>
      </w:r>
    </w:p>
    <w:p w:rsidR="00BF3486" w:rsidRPr="001F71B9" w:rsidRDefault="00BF3486" w:rsidP="00BF3486">
      <w:pPr>
        <w:spacing w:after="0" w:line="240" w:lineRule="auto"/>
        <w:jc w:val="both"/>
        <w:rPr>
          <w:rFonts w:cs="Times New Roman"/>
          <w:sz w:val="24"/>
          <w:szCs w:val="24"/>
        </w:rPr>
      </w:pPr>
    </w:p>
    <w:p w:rsidR="00BE1168" w:rsidRPr="001F71B9" w:rsidRDefault="00BE1168" w:rsidP="00BF3486">
      <w:pPr>
        <w:spacing w:after="0" w:line="240" w:lineRule="auto"/>
        <w:jc w:val="both"/>
        <w:rPr>
          <w:rFonts w:cs="Times New Roman"/>
          <w:sz w:val="24"/>
          <w:szCs w:val="24"/>
        </w:rPr>
      </w:pPr>
      <w:r w:rsidRPr="001F71B9">
        <w:rPr>
          <w:rFonts w:cs="Times New Roman"/>
          <w:sz w:val="24"/>
          <w:szCs w:val="24"/>
        </w:rPr>
        <w:t>2016 yılında Tunus’tan yapılan ithalat bir önceki yıla nazaran artarak 214 milyon dolar olarak gerçekleşmiştir. 2016 yılında Tunus’tan ithal ettiğimiz başlıca ürünler, azot, fosfor, fosforik asitler, TV alıcıları, ayakkabılar, pamuklu kumaşlar, elektrik panoları,  hurma ve kablolardır.</w:t>
      </w:r>
    </w:p>
    <w:tbl>
      <w:tblPr>
        <w:tblStyle w:val="TableGrid"/>
        <w:tblW w:w="9364" w:type="dxa"/>
        <w:tblLook w:val="04A0" w:firstRow="1" w:lastRow="0" w:firstColumn="1" w:lastColumn="0" w:noHBand="0" w:noVBand="1"/>
      </w:tblPr>
      <w:tblGrid>
        <w:gridCol w:w="703"/>
        <w:gridCol w:w="4695"/>
        <w:gridCol w:w="1010"/>
        <w:gridCol w:w="1010"/>
        <w:gridCol w:w="1010"/>
        <w:gridCol w:w="1010"/>
      </w:tblGrid>
      <w:tr w:rsidR="00BE1168" w:rsidRPr="001F71B9" w:rsidTr="00BE1168">
        <w:trPr>
          <w:trHeight w:val="260"/>
        </w:trPr>
        <w:tc>
          <w:tcPr>
            <w:tcW w:w="665" w:type="dxa"/>
            <w:vAlign w:val="center"/>
            <w:hideMark/>
          </w:tcPr>
          <w:p w:rsidR="00BE1168" w:rsidRPr="001F71B9" w:rsidRDefault="00BE1168" w:rsidP="00BF3486">
            <w:pPr>
              <w:pStyle w:val="NoSpacing"/>
              <w:jc w:val="center"/>
              <w:rPr>
                <w:b/>
                <w:sz w:val="24"/>
                <w:szCs w:val="24"/>
              </w:rPr>
            </w:pPr>
            <w:r w:rsidRPr="001F71B9">
              <w:rPr>
                <w:b/>
                <w:sz w:val="24"/>
                <w:szCs w:val="24"/>
              </w:rPr>
              <w:t>GTİP</w:t>
            </w:r>
          </w:p>
        </w:tc>
        <w:tc>
          <w:tcPr>
            <w:tcW w:w="4695" w:type="dxa"/>
            <w:noWrap/>
            <w:vAlign w:val="center"/>
            <w:hideMark/>
          </w:tcPr>
          <w:p w:rsidR="00BE1168" w:rsidRPr="001F71B9" w:rsidRDefault="00BE1168" w:rsidP="00BF3486">
            <w:pPr>
              <w:pStyle w:val="NoSpacing"/>
              <w:rPr>
                <w:b/>
                <w:sz w:val="24"/>
                <w:szCs w:val="24"/>
              </w:rPr>
            </w:pPr>
            <w:r w:rsidRPr="001F71B9">
              <w:rPr>
                <w:b/>
                <w:sz w:val="24"/>
                <w:szCs w:val="24"/>
              </w:rPr>
              <w:t>ÜRÜNLER</w:t>
            </w:r>
          </w:p>
        </w:tc>
        <w:tc>
          <w:tcPr>
            <w:tcW w:w="988" w:type="dxa"/>
            <w:vAlign w:val="center"/>
            <w:hideMark/>
          </w:tcPr>
          <w:p w:rsidR="00BE1168" w:rsidRPr="001F71B9" w:rsidRDefault="00BE1168" w:rsidP="00BF3486">
            <w:pPr>
              <w:pStyle w:val="NoSpacing"/>
              <w:jc w:val="center"/>
              <w:rPr>
                <w:b/>
                <w:sz w:val="24"/>
                <w:szCs w:val="24"/>
              </w:rPr>
            </w:pPr>
            <w:r w:rsidRPr="001F71B9">
              <w:rPr>
                <w:b/>
                <w:sz w:val="24"/>
                <w:szCs w:val="24"/>
              </w:rPr>
              <w:t>2013</w:t>
            </w:r>
          </w:p>
        </w:tc>
        <w:tc>
          <w:tcPr>
            <w:tcW w:w="1036" w:type="dxa"/>
            <w:vAlign w:val="center"/>
            <w:hideMark/>
          </w:tcPr>
          <w:p w:rsidR="00BE1168" w:rsidRPr="001F71B9" w:rsidRDefault="00BE1168" w:rsidP="00BF3486">
            <w:pPr>
              <w:pStyle w:val="NoSpacing"/>
              <w:jc w:val="center"/>
              <w:rPr>
                <w:b/>
                <w:sz w:val="24"/>
                <w:szCs w:val="24"/>
              </w:rPr>
            </w:pPr>
            <w:r w:rsidRPr="001F71B9">
              <w:rPr>
                <w:b/>
                <w:sz w:val="24"/>
                <w:szCs w:val="24"/>
              </w:rPr>
              <w:t>2014</w:t>
            </w:r>
          </w:p>
        </w:tc>
        <w:tc>
          <w:tcPr>
            <w:tcW w:w="992" w:type="dxa"/>
            <w:noWrap/>
            <w:vAlign w:val="center"/>
            <w:hideMark/>
          </w:tcPr>
          <w:p w:rsidR="00BE1168" w:rsidRPr="001F71B9" w:rsidRDefault="00BE1168" w:rsidP="00BF3486">
            <w:pPr>
              <w:pStyle w:val="NoSpacing"/>
              <w:jc w:val="center"/>
              <w:rPr>
                <w:b/>
                <w:sz w:val="24"/>
                <w:szCs w:val="24"/>
              </w:rPr>
            </w:pPr>
            <w:r w:rsidRPr="001F71B9">
              <w:rPr>
                <w:b/>
                <w:sz w:val="24"/>
                <w:szCs w:val="24"/>
              </w:rPr>
              <w:t>2015</w:t>
            </w:r>
          </w:p>
        </w:tc>
        <w:tc>
          <w:tcPr>
            <w:tcW w:w="988" w:type="dxa"/>
            <w:vAlign w:val="center"/>
          </w:tcPr>
          <w:p w:rsidR="00BE1168" w:rsidRPr="001F71B9" w:rsidRDefault="00BE1168" w:rsidP="00BF3486">
            <w:pPr>
              <w:pStyle w:val="NoSpacing"/>
              <w:jc w:val="center"/>
              <w:rPr>
                <w:b/>
                <w:sz w:val="24"/>
                <w:szCs w:val="24"/>
              </w:rPr>
            </w:pPr>
            <w:r w:rsidRPr="001F71B9">
              <w:rPr>
                <w:b/>
                <w:sz w:val="24"/>
                <w:szCs w:val="24"/>
              </w:rPr>
              <w:t>2016</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b/>
                <w:sz w:val="24"/>
                <w:szCs w:val="24"/>
              </w:rPr>
            </w:pPr>
          </w:p>
        </w:tc>
        <w:tc>
          <w:tcPr>
            <w:tcW w:w="4695" w:type="dxa"/>
            <w:noWrap/>
            <w:vAlign w:val="center"/>
            <w:hideMark/>
          </w:tcPr>
          <w:p w:rsidR="00BE1168" w:rsidRPr="001F71B9" w:rsidRDefault="00BE1168" w:rsidP="00BF3486">
            <w:pPr>
              <w:pStyle w:val="NoSpacing"/>
              <w:rPr>
                <w:b/>
                <w:sz w:val="24"/>
                <w:szCs w:val="24"/>
              </w:rPr>
            </w:pPr>
            <w:r w:rsidRPr="001F71B9">
              <w:rPr>
                <w:b/>
                <w:bCs/>
                <w:sz w:val="24"/>
                <w:szCs w:val="24"/>
              </w:rPr>
              <w:t>TOPLAM İHRACAT</w:t>
            </w:r>
          </w:p>
        </w:tc>
        <w:tc>
          <w:tcPr>
            <w:tcW w:w="988" w:type="dxa"/>
            <w:vAlign w:val="center"/>
            <w:hideMark/>
          </w:tcPr>
          <w:p w:rsidR="00BE1168" w:rsidRPr="001F71B9" w:rsidRDefault="00BE1168" w:rsidP="00BF3486">
            <w:pPr>
              <w:pStyle w:val="NoSpacing"/>
              <w:jc w:val="center"/>
              <w:rPr>
                <w:b/>
                <w:sz w:val="24"/>
                <w:szCs w:val="24"/>
              </w:rPr>
            </w:pPr>
            <w:r w:rsidRPr="001F71B9">
              <w:rPr>
                <w:b/>
                <w:bCs/>
                <w:sz w:val="24"/>
                <w:szCs w:val="24"/>
              </w:rPr>
              <w:t>289.268</w:t>
            </w:r>
          </w:p>
        </w:tc>
        <w:tc>
          <w:tcPr>
            <w:tcW w:w="1036" w:type="dxa"/>
            <w:vAlign w:val="center"/>
            <w:hideMark/>
          </w:tcPr>
          <w:p w:rsidR="00BE1168" w:rsidRPr="001F71B9" w:rsidRDefault="00BE1168" w:rsidP="00BF3486">
            <w:pPr>
              <w:pStyle w:val="NoSpacing"/>
              <w:jc w:val="center"/>
              <w:rPr>
                <w:b/>
                <w:sz w:val="24"/>
                <w:szCs w:val="24"/>
              </w:rPr>
            </w:pPr>
            <w:r w:rsidRPr="001F71B9">
              <w:rPr>
                <w:b/>
                <w:bCs/>
                <w:sz w:val="24"/>
                <w:szCs w:val="24"/>
              </w:rPr>
              <w:t>196.697</w:t>
            </w:r>
          </w:p>
        </w:tc>
        <w:tc>
          <w:tcPr>
            <w:tcW w:w="992" w:type="dxa"/>
            <w:noWrap/>
            <w:vAlign w:val="center"/>
            <w:hideMark/>
          </w:tcPr>
          <w:p w:rsidR="00BE1168" w:rsidRPr="001F71B9" w:rsidRDefault="00BE1168" w:rsidP="00BF3486">
            <w:pPr>
              <w:pStyle w:val="NoSpacing"/>
              <w:jc w:val="center"/>
              <w:rPr>
                <w:b/>
                <w:sz w:val="24"/>
                <w:szCs w:val="24"/>
              </w:rPr>
            </w:pPr>
            <w:r w:rsidRPr="001F71B9">
              <w:rPr>
                <w:b/>
                <w:bCs/>
                <w:sz w:val="24"/>
                <w:szCs w:val="24"/>
              </w:rPr>
              <w:t>144.078</w:t>
            </w:r>
          </w:p>
        </w:tc>
        <w:tc>
          <w:tcPr>
            <w:tcW w:w="988" w:type="dxa"/>
            <w:vAlign w:val="center"/>
          </w:tcPr>
          <w:p w:rsidR="00BE1168" w:rsidRPr="001F71B9" w:rsidRDefault="00BE1168" w:rsidP="00BF3486">
            <w:pPr>
              <w:pStyle w:val="NoSpacing"/>
              <w:jc w:val="center"/>
              <w:rPr>
                <w:b/>
                <w:bCs/>
                <w:sz w:val="24"/>
                <w:szCs w:val="24"/>
              </w:rPr>
            </w:pPr>
            <w:r w:rsidRPr="001F71B9">
              <w:rPr>
                <w:b/>
                <w:bCs/>
                <w:sz w:val="24"/>
                <w:szCs w:val="24"/>
              </w:rPr>
              <w:t>214.382</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2809</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Difosfor</w:t>
            </w:r>
            <w:proofErr w:type="spellEnd"/>
            <w:r w:rsidRPr="001F71B9">
              <w:rPr>
                <w:sz w:val="24"/>
                <w:szCs w:val="24"/>
              </w:rPr>
              <w:t xml:space="preserve"> </w:t>
            </w:r>
            <w:proofErr w:type="spellStart"/>
            <w:r w:rsidRPr="001F71B9">
              <w:rPr>
                <w:sz w:val="24"/>
                <w:szCs w:val="24"/>
              </w:rPr>
              <w:t>pentaoksit</w:t>
            </w:r>
            <w:proofErr w:type="spellEnd"/>
            <w:r w:rsidRPr="001F71B9">
              <w:rPr>
                <w:sz w:val="24"/>
                <w:szCs w:val="24"/>
              </w:rPr>
              <w:t xml:space="preserve">, </w:t>
            </w:r>
            <w:proofErr w:type="spellStart"/>
            <w:r w:rsidRPr="001F71B9">
              <w:rPr>
                <w:sz w:val="24"/>
                <w:szCs w:val="24"/>
              </w:rPr>
              <w:t>fosforik</w:t>
            </w:r>
            <w:proofErr w:type="spellEnd"/>
            <w:r w:rsidRPr="001F71B9">
              <w:rPr>
                <w:sz w:val="24"/>
                <w:szCs w:val="24"/>
              </w:rPr>
              <w:t xml:space="preserve"> </w:t>
            </w:r>
            <w:proofErr w:type="spellStart"/>
            <w:r w:rsidRPr="001F71B9">
              <w:rPr>
                <w:sz w:val="24"/>
                <w:szCs w:val="24"/>
              </w:rPr>
              <w:t>asit</w:t>
            </w:r>
            <w:proofErr w:type="spellEnd"/>
            <w:r w:rsidRPr="001F71B9">
              <w:rPr>
                <w:sz w:val="24"/>
                <w:szCs w:val="24"/>
              </w:rPr>
              <w:t xml:space="preserve"> ve </w:t>
            </w:r>
            <w:proofErr w:type="spellStart"/>
            <w:r w:rsidRPr="001F71B9">
              <w:rPr>
                <w:sz w:val="24"/>
                <w:szCs w:val="24"/>
              </w:rPr>
              <w:t>polifosforik</w:t>
            </w:r>
            <w:proofErr w:type="spellEnd"/>
            <w:r w:rsidRPr="001F71B9">
              <w:rPr>
                <w:sz w:val="24"/>
                <w:szCs w:val="24"/>
              </w:rPr>
              <w:t xml:space="preserve"> </w:t>
            </w:r>
            <w:proofErr w:type="spellStart"/>
            <w:r w:rsidRPr="001F71B9">
              <w:rPr>
                <w:sz w:val="24"/>
                <w:szCs w:val="24"/>
              </w:rPr>
              <w:t>asitler</w:t>
            </w:r>
            <w:proofErr w:type="spellEnd"/>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36.662</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16.743</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24.227</w:t>
            </w:r>
          </w:p>
        </w:tc>
        <w:tc>
          <w:tcPr>
            <w:tcW w:w="988" w:type="dxa"/>
            <w:vAlign w:val="center"/>
          </w:tcPr>
          <w:p w:rsidR="00BE1168" w:rsidRPr="001F71B9" w:rsidRDefault="00BE1168" w:rsidP="00BF3486">
            <w:pPr>
              <w:pStyle w:val="NoSpacing"/>
              <w:jc w:val="center"/>
              <w:rPr>
                <w:sz w:val="24"/>
                <w:szCs w:val="24"/>
              </w:rPr>
            </w:pPr>
            <w:r w:rsidRPr="001F71B9">
              <w:rPr>
                <w:sz w:val="24"/>
                <w:szCs w:val="24"/>
              </w:rPr>
              <w:t>16.394</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3105</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Azot</w:t>
            </w:r>
            <w:proofErr w:type="spellEnd"/>
            <w:r w:rsidRPr="001F71B9">
              <w:rPr>
                <w:sz w:val="24"/>
                <w:szCs w:val="24"/>
              </w:rPr>
              <w:t xml:space="preserve">, </w:t>
            </w:r>
            <w:proofErr w:type="spellStart"/>
            <w:r w:rsidRPr="001F71B9">
              <w:rPr>
                <w:sz w:val="24"/>
                <w:szCs w:val="24"/>
              </w:rPr>
              <w:t>fosfor</w:t>
            </w:r>
            <w:proofErr w:type="spellEnd"/>
            <w:r w:rsidRPr="001F71B9">
              <w:rPr>
                <w:sz w:val="24"/>
                <w:szCs w:val="24"/>
              </w:rPr>
              <w:t xml:space="preserve"> ve </w:t>
            </w:r>
            <w:proofErr w:type="spellStart"/>
            <w:r w:rsidRPr="001F71B9">
              <w:rPr>
                <w:sz w:val="24"/>
                <w:szCs w:val="24"/>
              </w:rPr>
              <w:t>potasyumun</w:t>
            </w:r>
            <w:proofErr w:type="spellEnd"/>
            <w:r w:rsidRPr="001F71B9">
              <w:rPr>
                <w:sz w:val="24"/>
                <w:szCs w:val="24"/>
              </w:rPr>
              <w:t xml:space="preserve"> </w:t>
            </w:r>
            <w:proofErr w:type="spellStart"/>
            <w:r w:rsidRPr="001F71B9">
              <w:rPr>
                <w:sz w:val="24"/>
                <w:szCs w:val="24"/>
              </w:rPr>
              <w:t>ikisini</w:t>
            </w:r>
            <w:proofErr w:type="spellEnd"/>
            <w:r w:rsidRPr="001F71B9">
              <w:rPr>
                <w:sz w:val="24"/>
                <w:szCs w:val="24"/>
              </w:rPr>
              <w:t xml:space="preserve">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üçünü</w:t>
            </w:r>
            <w:proofErr w:type="spellEnd"/>
            <w:r w:rsidRPr="001F71B9">
              <w:rPr>
                <w:sz w:val="24"/>
                <w:szCs w:val="24"/>
              </w:rPr>
              <w:t xml:space="preserve"> </w:t>
            </w:r>
            <w:proofErr w:type="spellStart"/>
            <w:r w:rsidRPr="001F71B9">
              <w:rPr>
                <w:sz w:val="24"/>
                <w:szCs w:val="24"/>
              </w:rPr>
              <w:t>içeren</w:t>
            </w:r>
            <w:proofErr w:type="spellEnd"/>
            <w:r w:rsidRPr="001F71B9">
              <w:rPr>
                <w:sz w:val="24"/>
                <w:szCs w:val="24"/>
              </w:rPr>
              <w:t xml:space="preserve"> mineral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kimyasal</w:t>
            </w:r>
            <w:proofErr w:type="spellEnd"/>
            <w:r w:rsidRPr="001F71B9">
              <w:rPr>
                <w:sz w:val="24"/>
                <w:szCs w:val="24"/>
              </w:rPr>
              <w:t xml:space="preserve"> </w:t>
            </w:r>
            <w:proofErr w:type="spellStart"/>
            <w:r w:rsidRPr="001F71B9">
              <w:rPr>
                <w:sz w:val="24"/>
                <w:szCs w:val="24"/>
              </w:rPr>
              <w:t>gübreler</w:t>
            </w:r>
            <w:proofErr w:type="spellEnd"/>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109.715</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50.433</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21.404</w:t>
            </w:r>
          </w:p>
        </w:tc>
        <w:tc>
          <w:tcPr>
            <w:tcW w:w="988" w:type="dxa"/>
            <w:vAlign w:val="center"/>
          </w:tcPr>
          <w:p w:rsidR="00BE1168" w:rsidRPr="001F71B9" w:rsidRDefault="00BE1168" w:rsidP="00BF3486">
            <w:pPr>
              <w:pStyle w:val="NoSpacing"/>
              <w:jc w:val="center"/>
              <w:rPr>
                <w:sz w:val="24"/>
                <w:szCs w:val="24"/>
              </w:rPr>
            </w:pPr>
            <w:r w:rsidRPr="001F71B9">
              <w:rPr>
                <w:sz w:val="24"/>
                <w:szCs w:val="24"/>
              </w:rPr>
              <w:t>89.526</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1509</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Zeytinyağı</w:t>
            </w:r>
            <w:proofErr w:type="spellEnd"/>
            <w:r w:rsidRPr="001F71B9">
              <w:rPr>
                <w:sz w:val="24"/>
                <w:szCs w:val="24"/>
              </w:rPr>
              <w:t xml:space="preserve"> ve </w:t>
            </w:r>
            <w:proofErr w:type="spellStart"/>
            <w:r w:rsidRPr="001F71B9">
              <w:rPr>
                <w:sz w:val="24"/>
                <w:szCs w:val="24"/>
              </w:rPr>
              <w:t>fraksiyonları</w:t>
            </w:r>
            <w:proofErr w:type="spellEnd"/>
            <w:r w:rsidRPr="001F71B9">
              <w:rPr>
                <w:sz w:val="24"/>
                <w:szCs w:val="24"/>
              </w:rPr>
              <w:t xml:space="preserve"> (</w:t>
            </w:r>
            <w:proofErr w:type="spellStart"/>
            <w:r w:rsidRPr="001F71B9">
              <w:rPr>
                <w:sz w:val="24"/>
                <w:szCs w:val="24"/>
              </w:rPr>
              <w:t>kimyasal</w:t>
            </w:r>
            <w:proofErr w:type="spellEnd"/>
            <w:r w:rsidRPr="001F71B9">
              <w:rPr>
                <w:sz w:val="24"/>
                <w:szCs w:val="24"/>
              </w:rPr>
              <w:t xml:space="preserve"> </w:t>
            </w:r>
            <w:proofErr w:type="spellStart"/>
            <w:r w:rsidRPr="001F71B9">
              <w:rPr>
                <w:sz w:val="24"/>
                <w:szCs w:val="24"/>
              </w:rPr>
              <w:t>olarak</w:t>
            </w:r>
            <w:proofErr w:type="spellEnd"/>
            <w:r w:rsidRPr="001F71B9">
              <w:rPr>
                <w:sz w:val="24"/>
                <w:szCs w:val="24"/>
              </w:rPr>
              <w:t xml:space="preserve"> </w:t>
            </w:r>
            <w:proofErr w:type="spellStart"/>
            <w:r w:rsidRPr="001F71B9">
              <w:rPr>
                <w:sz w:val="24"/>
                <w:szCs w:val="24"/>
              </w:rPr>
              <w:t>değiştirilmemiş</w:t>
            </w:r>
            <w:proofErr w:type="spellEnd"/>
            <w:r w:rsidRPr="001F71B9">
              <w:rPr>
                <w:sz w:val="24"/>
                <w:szCs w:val="24"/>
              </w:rPr>
              <w:t>)</w:t>
            </w:r>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0</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0</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8.270</w:t>
            </w:r>
          </w:p>
        </w:tc>
        <w:tc>
          <w:tcPr>
            <w:tcW w:w="988" w:type="dxa"/>
            <w:vAlign w:val="center"/>
          </w:tcPr>
          <w:p w:rsidR="00BE1168" w:rsidRPr="001F71B9" w:rsidRDefault="00BE1168" w:rsidP="00BF3486">
            <w:pPr>
              <w:pStyle w:val="NoSpacing"/>
              <w:jc w:val="center"/>
              <w:rPr>
                <w:sz w:val="24"/>
                <w:szCs w:val="24"/>
              </w:rPr>
            </w:pPr>
            <w:r w:rsidRPr="001F71B9">
              <w:rPr>
                <w:sz w:val="24"/>
                <w:szCs w:val="24"/>
              </w:rPr>
              <w:t>2.723</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5209</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Pamuklu</w:t>
            </w:r>
            <w:proofErr w:type="spellEnd"/>
            <w:r w:rsidRPr="001F71B9">
              <w:rPr>
                <w:sz w:val="24"/>
                <w:szCs w:val="24"/>
              </w:rPr>
              <w:t xml:space="preserve"> </w:t>
            </w:r>
            <w:proofErr w:type="spellStart"/>
            <w:r w:rsidRPr="001F71B9">
              <w:rPr>
                <w:sz w:val="24"/>
                <w:szCs w:val="24"/>
              </w:rPr>
              <w:t>mensucat</w:t>
            </w:r>
            <w:proofErr w:type="spellEnd"/>
            <w:r w:rsidRPr="001F71B9">
              <w:rPr>
                <w:sz w:val="24"/>
                <w:szCs w:val="24"/>
              </w:rPr>
              <w:t xml:space="preserve"> (</w:t>
            </w:r>
            <w:proofErr w:type="spellStart"/>
            <w:r w:rsidRPr="001F71B9">
              <w:rPr>
                <w:sz w:val="24"/>
                <w:szCs w:val="24"/>
              </w:rPr>
              <w:t>ağırlık</w:t>
            </w:r>
            <w:proofErr w:type="spellEnd"/>
            <w:r w:rsidRPr="001F71B9">
              <w:rPr>
                <w:sz w:val="24"/>
                <w:szCs w:val="24"/>
              </w:rPr>
              <w:t xml:space="preserve"> </w:t>
            </w:r>
            <w:proofErr w:type="spellStart"/>
            <w:r w:rsidRPr="001F71B9">
              <w:rPr>
                <w:sz w:val="24"/>
                <w:szCs w:val="24"/>
              </w:rPr>
              <w:t>itibariyle</w:t>
            </w:r>
            <w:proofErr w:type="spellEnd"/>
            <w:r w:rsidRPr="001F71B9">
              <w:rPr>
                <w:sz w:val="24"/>
                <w:szCs w:val="24"/>
              </w:rPr>
              <w:t xml:space="preserve"> % 85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daha</w:t>
            </w:r>
            <w:proofErr w:type="spellEnd"/>
            <w:r w:rsidRPr="001F71B9">
              <w:rPr>
                <w:sz w:val="24"/>
                <w:szCs w:val="24"/>
              </w:rPr>
              <w:t xml:space="preserve"> </w:t>
            </w:r>
            <w:proofErr w:type="spellStart"/>
            <w:r w:rsidRPr="001F71B9">
              <w:rPr>
                <w:sz w:val="24"/>
                <w:szCs w:val="24"/>
              </w:rPr>
              <w:t>fazla</w:t>
            </w:r>
            <w:proofErr w:type="spellEnd"/>
            <w:r w:rsidRPr="001F71B9">
              <w:rPr>
                <w:sz w:val="24"/>
                <w:szCs w:val="24"/>
              </w:rPr>
              <w:t xml:space="preserve"> </w:t>
            </w:r>
            <w:proofErr w:type="spellStart"/>
            <w:r w:rsidRPr="001F71B9">
              <w:rPr>
                <w:sz w:val="24"/>
                <w:szCs w:val="24"/>
              </w:rPr>
              <w:t>pamuk</w:t>
            </w:r>
            <w:proofErr w:type="spellEnd"/>
            <w:r w:rsidRPr="001F71B9">
              <w:rPr>
                <w:sz w:val="24"/>
                <w:szCs w:val="24"/>
              </w:rPr>
              <w:t xml:space="preserve"> </w:t>
            </w:r>
            <w:proofErr w:type="spellStart"/>
            <w:r w:rsidRPr="001F71B9">
              <w:rPr>
                <w:sz w:val="24"/>
                <w:szCs w:val="24"/>
              </w:rPr>
              <w:t>içeren</w:t>
            </w:r>
            <w:proofErr w:type="spellEnd"/>
            <w:r w:rsidRPr="001F71B9">
              <w:rPr>
                <w:sz w:val="24"/>
                <w:szCs w:val="24"/>
              </w:rPr>
              <w:t xml:space="preserve"> ve m2 </w:t>
            </w:r>
            <w:proofErr w:type="spellStart"/>
            <w:r w:rsidRPr="001F71B9">
              <w:rPr>
                <w:sz w:val="24"/>
                <w:szCs w:val="24"/>
              </w:rPr>
              <w:t>ağırlığı</w:t>
            </w:r>
            <w:proofErr w:type="spellEnd"/>
            <w:r w:rsidRPr="001F71B9">
              <w:rPr>
                <w:sz w:val="24"/>
                <w:szCs w:val="24"/>
              </w:rPr>
              <w:t xml:space="preserve"> 200 gr. </w:t>
            </w:r>
            <w:proofErr w:type="spellStart"/>
            <w:r w:rsidRPr="001F71B9">
              <w:rPr>
                <w:sz w:val="24"/>
                <w:szCs w:val="24"/>
              </w:rPr>
              <w:t>ı</w:t>
            </w:r>
            <w:proofErr w:type="spellEnd"/>
            <w:r w:rsidRPr="001F71B9">
              <w:rPr>
                <w:sz w:val="24"/>
                <w:szCs w:val="24"/>
              </w:rPr>
              <w:t xml:space="preserve"> </w:t>
            </w:r>
            <w:proofErr w:type="spellStart"/>
            <w:r w:rsidRPr="001F71B9">
              <w:rPr>
                <w:sz w:val="24"/>
                <w:szCs w:val="24"/>
              </w:rPr>
              <w:t>geçenler</w:t>
            </w:r>
            <w:proofErr w:type="spellEnd"/>
            <w:r w:rsidRPr="001F71B9">
              <w:rPr>
                <w:sz w:val="24"/>
                <w:szCs w:val="24"/>
              </w:rPr>
              <w:t>)</w:t>
            </w:r>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5.092</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8.650</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6.006</w:t>
            </w:r>
          </w:p>
        </w:tc>
        <w:tc>
          <w:tcPr>
            <w:tcW w:w="988" w:type="dxa"/>
            <w:vAlign w:val="center"/>
          </w:tcPr>
          <w:p w:rsidR="00BE1168" w:rsidRPr="001F71B9" w:rsidRDefault="00BE1168" w:rsidP="00BF3486">
            <w:pPr>
              <w:pStyle w:val="NoSpacing"/>
              <w:jc w:val="center"/>
              <w:rPr>
                <w:sz w:val="24"/>
                <w:szCs w:val="24"/>
              </w:rPr>
            </w:pPr>
            <w:r w:rsidRPr="001F71B9">
              <w:rPr>
                <w:sz w:val="24"/>
                <w:szCs w:val="24"/>
              </w:rPr>
              <w:t>6.714</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8544</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İzole</w:t>
            </w:r>
            <w:proofErr w:type="spellEnd"/>
            <w:r w:rsidRPr="001F71B9">
              <w:rPr>
                <w:sz w:val="24"/>
                <w:szCs w:val="24"/>
              </w:rPr>
              <w:t xml:space="preserve"> </w:t>
            </w:r>
            <w:proofErr w:type="spellStart"/>
            <w:r w:rsidRPr="001F71B9">
              <w:rPr>
                <w:sz w:val="24"/>
                <w:szCs w:val="24"/>
              </w:rPr>
              <w:t>edilmiş</w:t>
            </w:r>
            <w:proofErr w:type="spellEnd"/>
            <w:r w:rsidRPr="001F71B9">
              <w:rPr>
                <w:sz w:val="24"/>
                <w:szCs w:val="24"/>
              </w:rPr>
              <w:t xml:space="preserve"> teller, </w:t>
            </w:r>
            <w:proofErr w:type="spellStart"/>
            <w:r w:rsidRPr="001F71B9">
              <w:rPr>
                <w:sz w:val="24"/>
                <w:szCs w:val="24"/>
              </w:rPr>
              <w:t>kablolar</w:t>
            </w:r>
            <w:proofErr w:type="spellEnd"/>
            <w:r w:rsidRPr="001F71B9">
              <w:rPr>
                <w:sz w:val="24"/>
                <w:szCs w:val="24"/>
              </w:rPr>
              <w:t xml:space="preserve"> ve </w:t>
            </w:r>
            <w:proofErr w:type="spellStart"/>
            <w:r w:rsidRPr="001F71B9">
              <w:rPr>
                <w:sz w:val="24"/>
                <w:szCs w:val="24"/>
              </w:rPr>
              <w:t>diğer</w:t>
            </w:r>
            <w:proofErr w:type="spellEnd"/>
            <w:r w:rsidRPr="001F71B9">
              <w:rPr>
                <w:sz w:val="24"/>
                <w:szCs w:val="24"/>
              </w:rPr>
              <w:t xml:space="preserve"> </w:t>
            </w: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iletkenler</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tek</w:t>
            </w:r>
            <w:proofErr w:type="spellEnd"/>
            <w:r w:rsidRPr="001F71B9">
              <w:rPr>
                <w:sz w:val="24"/>
                <w:szCs w:val="24"/>
              </w:rPr>
              <w:t xml:space="preserve"> </w:t>
            </w:r>
            <w:proofErr w:type="spellStart"/>
            <w:r w:rsidRPr="001F71B9">
              <w:rPr>
                <w:sz w:val="24"/>
                <w:szCs w:val="24"/>
              </w:rPr>
              <w:t>kaplanmış</w:t>
            </w:r>
            <w:proofErr w:type="spellEnd"/>
            <w:r w:rsidRPr="001F71B9">
              <w:rPr>
                <w:sz w:val="24"/>
                <w:szCs w:val="24"/>
              </w:rPr>
              <w:t xml:space="preserve"> </w:t>
            </w:r>
            <w:proofErr w:type="spellStart"/>
            <w:r w:rsidRPr="001F71B9">
              <w:rPr>
                <w:sz w:val="24"/>
                <w:szCs w:val="24"/>
              </w:rPr>
              <w:t>liflerden</w:t>
            </w:r>
            <w:proofErr w:type="spellEnd"/>
            <w:r w:rsidRPr="001F71B9">
              <w:rPr>
                <w:sz w:val="24"/>
                <w:szCs w:val="24"/>
              </w:rPr>
              <w:t xml:space="preserve"> </w:t>
            </w:r>
            <w:proofErr w:type="spellStart"/>
            <w:r w:rsidRPr="001F71B9">
              <w:rPr>
                <w:sz w:val="24"/>
                <w:szCs w:val="24"/>
              </w:rPr>
              <w:t>oluşan</w:t>
            </w:r>
            <w:proofErr w:type="spellEnd"/>
            <w:r w:rsidRPr="001F71B9">
              <w:rPr>
                <w:sz w:val="24"/>
                <w:szCs w:val="24"/>
              </w:rPr>
              <w:t xml:space="preserve"> fiber </w:t>
            </w:r>
            <w:proofErr w:type="spellStart"/>
            <w:r w:rsidRPr="001F71B9">
              <w:rPr>
                <w:sz w:val="24"/>
                <w:szCs w:val="24"/>
              </w:rPr>
              <w:t>optik</w:t>
            </w:r>
            <w:proofErr w:type="spellEnd"/>
            <w:r w:rsidRPr="001F71B9">
              <w:rPr>
                <w:sz w:val="24"/>
                <w:szCs w:val="24"/>
              </w:rPr>
              <w:t xml:space="preserve"> </w:t>
            </w:r>
            <w:proofErr w:type="spellStart"/>
            <w:r w:rsidRPr="001F71B9">
              <w:rPr>
                <w:sz w:val="24"/>
                <w:szCs w:val="24"/>
              </w:rPr>
              <w:t>kablolar</w:t>
            </w:r>
            <w:proofErr w:type="spellEnd"/>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6.805</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5.768</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5.540</w:t>
            </w:r>
          </w:p>
        </w:tc>
        <w:tc>
          <w:tcPr>
            <w:tcW w:w="988" w:type="dxa"/>
            <w:vAlign w:val="center"/>
          </w:tcPr>
          <w:p w:rsidR="00BE1168" w:rsidRPr="001F71B9" w:rsidRDefault="00BE1168" w:rsidP="00BF3486">
            <w:pPr>
              <w:pStyle w:val="NoSpacing"/>
              <w:jc w:val="center"/>
              <w:rPr>
                <w:sz w:val="24"/>
                <w:szCs w:val="24"/>
              </w:rPr>
            </w:pPr>
            <w:r w:rsidRPr="001F71B9">
              <w:rPr>
                <w:sz w:val="24"/>
                <w:szCs w:val="24"/>
              </w:rPr>
              <w:t>5.635</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8537</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Elektrik</w:t>
            </w:r>
            <w:proofErr w:type="spellEnd"/>
            <w:r w:rsidRPr="001F71B9">
              <w:rPr>
                <w:sz w:val="24"/>
                <w:szCs w:val="24"/>
              </w:rPr>
              <w:t xml:space="preserve"> </w:t>
            </w:r>
            <w:proofErr w:type="spellStart"/>
            <w:r w:rsidRPr="001F71B9">
              <w:rPr>
                <w:sz w:val="24"/>
                <w:szCs w:val="24"/>
              </w:rPr>
              <w:t>kontrol</w:t>
            </w:r>
            <w:proofErr w:type="spellEnd"/>
            <w:r w:rsidRPr="001F71B9">
              <w:rPr>
                <w:sz w:val="24"/>
                <w:szCs w:val="24"/>
              </w:rPr>
              <w:t xml:space="preserve">, </w:t>
            </w:r>
            <w:proofErr w:type="spellStart"/>
            <w:r w:rsidRPr="001F71B9">
              <w:rPr>
                <w:sz w:val="24"/>
                <w:szCs w:val="24"/>
              </w:rPr>
              <w:t>dağıtım</w:t>
            </w:r>
            <w:proofErr w:type="spellEnd"/>
            <w:r w:rsidRPr="001F71B9">
              <w:rPr>
                <w:sz w:val="24"/>
                <w:szCs w:val="24"/>
              </w:rPr>
              <w:t xml:space="preserve"> </w:t>
            </w:r>
            <w:proofErr w:type="spellStart"/>
            <w:r w:rsidRPr="001F71B9">
              <w:rPr>
                <w:sz w:val="24"/>
                <w:szCs w:val="24"/>
              </w:rPr>
              <w:t>tabloları</w:t>
            </w:r>
            <w:proofErr w:type="spellEnd"/>
            <w:r w:rsidRPr="001F71B9">
              <w:rPr>
                <w:sz w:val="24"/>
                <w:szCs w:val="24"/>
              </w:rPr>
              <w:t xml:space="preserve">, </w:t>
            </w:r>
            <w:proofErr w:type="spellStart"/>
            <w:r w:rsidRPr="001F71B9">
              <w:rPr>
                <w:sz w:val="24"/>
                <w:szCs w:val="24"/>
              </w:rPr>
              <w:t>panolar</w:t>
            </w:r>
            <w:proofErr w:type="spellEnd"/>
            <w:r w:rsidRPr="001F71B9">
              <w:rPr>
                <w:sz w:val="24"/>
                <w:szCs w:val="24"/>
              </w:rPr>
              <w:t xml:space="preserve">, </w:t>
            </w:r>
            <w:proofErr w:type="spellStart"/>
            <w:r w:rsidRPr="001F71B9">
              <w:rPr>
                <w:sz w:val="24"/>
                <w:szCs w:val="24"/>
              </w:rPr>
              <w:t>konsollar</w:t>
            </w:r>
            <w:proofErr w:type="spellEnd"/>
            <w:r w:rsidRPr="001F71B9">
              <w:rPr>
                <w:sz w:val="24"/>
                <w:szCs w:val="24"/>
              </w:rPr>
              <w:t xml:space="preserve">, </w:t>
            </w:r>
            <w:proofErr w:type="spellStart"/>
            <w:r w:rsidRPr="001F71B9">
              <w:rPr>
                <w:sz w:val="24"/>
                <w:szCs w:val="24"/>
              </w:rPr>
              <w:t>kabinler</w:t>
            </w:r>
            <w:proofErr w:type="spellEnd"/>
            <w:r w:rsidRPr="001F71B9">
              <w:rPr>
                <w:sz w:val="24"/>
                <w:szCs w:val="24"/>
              </w:rPr>
              <w:t xml:space="preserve">, </w:t>
            </w:r>
            <w:proofErr w:type="spellStart"/>
            <w:r w:rsidRPr="001F71B9">
              <w:rPr>
                <w:sz w:val="24"/>
                <w:szCs w:val="24"/>
              </w:rPr>
              <w:t>diğer</w:t>
            </w:r>
            <w:proofErr w:type="spellEnd"/>
            <w:r w:rsidRPr="001F71B9">
              <w:rPr>
                <w:sz w:val="24"/>
                <w:szCs w:val="24"/>
              </w:rPr>
              <w:t xml:space="preserve"> </w:t>
            </w:r>
            <w:proofErr w:type="spellStart"/>
            <w:r w:rsidRPr="001F71B9">
              <w:rPr>
                <w:sz w:val="24"/>
                <w:szCs w:val="24"/>
              </w:rPr>
              <w:t>mesnetler</w:t>
            </w:r>
            <w:proofErr w:type="spellEnd"/>
            <w:r w:rsidRPr="001F71B9">
              <w:rPr>
                <w:sz w:val="24"/>
                <w:szCs w:val="24"/>
              </w:rPr>
              <w:t xml:space="preserve"> ve </w:t>
            </w:r>
            <w:proofErr w:type="spellStart"/>
            <w:r w:rsidRPr="001F71B9">
              <w:rPr>
                <w:sz w:val="24"/>
                <w:szCs w:val="24"/>
              </w:rPr>
              <w:t>sayısal</w:t>
            </w:r>
            <w:proofErr w:type="spellEnd"/>
            <w:r w:rsidRPr="001F71B9">
              <w:rPr>
                <w:sz w:val="24"/>
                <w:szCs w:val="24"/>
              </w:rPr>
              <w:t xml:space="preserve"> </w:t>
            </w:r>
            <w:proofErr w:type="spellStart"/>
            <w:r w:rsidRPr="001F71B9">
              <w:rPr>
                <w:sz w:val="24"/>
                <w:szCs w:val="24"/>
              </w:rPr>
              <w:t>kontrol</w:t>
            </w:r>
            <w:proofErr w:type="spellEnd"/>
            <w:r w:rsidRPr="001F71B9">
              <w:rPr>
                <w:sz w:val="24"/>
                <w:szCs w:val="24"/>
              </w:rPr>
              <w:t xml:space="preserve"> </w:t>
            </w:r>
            <w:proofErr w:type="spellStart"/>
            <w:r w:rsidRPr="001F71B9">
              <w:rPr>
                <w:sz w:val="24"/>
                <w:szCs w:val="24"/>
              </w:rPr>
              <w:t>cihazları</w:t>
            </w:r>
            <w:proofErr w:type="spellEnd"/>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4.217</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5.525</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5.392</w:t>
            </w:r>
          </w:p>
        </w:tc>
        <w:tc>
          <w:tcPr>
            <w:tcW w:w="988" w:type="dxa"/>
            <w:vAlign w:val="center"/>
          </w:tcPr>
          <w:p w:rsidR="00BE1168" w:rsidRPr="001F71B9" w:rsidRDefault="00BE1168" w:rsidP="00BF3486">
            <w:pPr>
              <w:pStyle w:val="NoSpacing"/>
              <w:jc w:val="center"/>
              <w:rPr>
                <w:sz w:val="24"/>
                <w:szCs w:val="24"/>
              </w:rPr>
            </w:pPr>
            <w:r w:rsidRPr="001F71B9">
              <w:rPr>
                <w:sz w:val="24"/>
                <w:szCs w:val="24"/>
              </w:rPr>
              <w:t>5.849</w:t>
            </w:r>
          </w:p>
        </w:tc>
      </w:tr>
      <w:tr w:rsidR="00BE1168" w:rsidRPr="001F71B9" w:rsidTr="00BE1168">
        <w:trPr>
          <w:trHeight w:val="12"/>
        </w:trPr>
        <w:tc>
          <w:tcPr>
            <w:tcW w:w="665" w:type="dxa"/>
            <w:vAlign w:val="center"/>
            <w:hideMark/>
          </w:tcPr>
          <w:p w:rsidR="00BE1168" w:rsidRPr="001F71B9" w:rsidRDefault="00BE1168" w:rsidP="00BF3486">
            <w:pPr>
              <w:pStyle w:val="NoSpacing"/>
              <w:jc w:val="center"/>
              <w:rPr>
                <w:sz w:val="24"/>
                <w:szCs w:val="24"/>
              </w:rPr>
            </w:pPr>
            <w:r w:rsidRPr="001F71B9">
              <w:rPr>
                <w:sz w:val="24"/>
                <w:szCs w:val="24"/>
              </w:rPr>
              <w:t>7204</w:t>
            </w:r>
          </w:p>
        </w:tc>
        <w:tc>
          <w:tcPr>
            <w:tcW w:w="4695" w:type="dxa"/>
            <w:noWrap/>
            <w:vAlign w:val="center"/>
            <w:hideMark/>
          </w:tcPr>
          <w:p w:rsidR="00BE1168" w:rsidRPr="001F71B9" w:rsidRDefault="00BE1168" w:rsidP="00BF3486">
            <w:pPr>
              <w:pStyle w:val="NoSpacing"/>
              <w:rPr>
                <w:sz w:val="24"/>
                <w:szCs w:val="24"/>
              </w:rPr>
            </w:pPr>
            <w:proofErr w:type="spellStart"/>
            <w:r w:rsidRPr="001F71B9">
              <w:rPr>
                <w:sz w:val="24"/>
                <w:szCs w:val="24"/>
              </w:rPr>
              <w:t>Dökme</w:t>
            </w:r>
            <w:proofErr w:type="spellEnd"/>
            <w:r w:rsidRPr="001F71B9">
              <w:rPr>
                <w:sz w:val="24"/>
                <w:szCs w:val="24"/>
              </w:rPr>
              <w:t xml:space="preserve"> </w:t>
            </w:r>
            <w:proofErr w:type="spellStart"/>
            <w:r w:rsidRPr="001F71B9">
              <w:rPr>
                <w:sz w:val="24"/>
                <w:szCs w:val="24"/>
              </w:rPr>
              <w:t>demirin</w:t>
            </w:r>
            <w:proofErr w:type="spellEnd"/>
            <w:r w:rsidRPr="001F71B9">
              <w:rPr>
                <w:sz w:val="24"/>
                <w:szCs w:val="24"/>
              </w:rPr>
              <w:t xml:space="preserve">, </w:t>
            </w:r>
            <w:proofErr w:type="spellStart"/>
            <w:r w:rsidRPr="001F71B9">
              <w:rPr>
                <w:sz w:val="24"/>
                <w:szCs w:val="24"/>
              </w:rPr>
              <w:t>demirin</w:t>
            </w:r>
            <w:proofErr w:type="spellEnd"/>
            <w:r w:rsidRPr="001F71B9">
              <w:rPr>
                <w:sz w:val="24"/>
                <w:szCs w:val="24"/>
              </w:rPr>
              <w:t xml:space="preserve">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çeliğin</w:t>
            </w:r>
            <w:proofErr w:type="spellEnd"/>
            <w:r w:rsidRPr="001F71B9">
              <w:rPr>
                <w:sz w:val="24"/>
                <w:szCs w:val="24"/>
              </w:rPr>
              <w:t xml:space="preserve"> </w:t>
            </w:r>
            <w:proofErr w:type="spellStart"/>
            <w:r w:rsidRPr="001F71B9">
              <w:rPr>
                <w:sz w:val="24"/>
                <w:szCs w:val="24"/>
              </w:rPr>
              <w:t>döküntü</w:t>
            </w:r>
            <w:proofErr w:type="spellEnd"/>
            <w:r w:rsidRPr="001F71B9">
              <w:rPr>
                <w:sz w:val="24"/>
                <w:szCs w:val="24"/>
              </w:rPr>
              <w:t xml:space="preserve"> ve </w:t>
            </w:r>
            <w:proofErr w:type="spellStart"/>
            <w:r w:rsidRPr="001F71B9">
              <w:rPr>
                <w:sz w:val="24"/>
                <w:szCs w:val="24"/>
              </w:rPr>
              <w:t>hurdaları</w:t>
            </w:r>
            <w:proofErr w:type="spellEnd"/>
            <w:r w:rsidRPr="001F71B9">
              <w:rPr>
                <w:sz w:val="24"/>
                <w:szCs w:val="24"/>
              </w:rPr>
              <w:t xml:space="preserve"> </w:t>
            </w:r>
            <w:proofErr w:type="spellStart"/>
            <w:r w:rsidRPr="001F71B9">
              <w:rPr>
                <w:sz w:val="24"/>
                <w:szCs w:val="24"/>
              </w:rPr>
              <w:t>veya</w:t>
            </w:r>
            <w:proofErr w:type="spellEnd"/>
            <w:r w:rsidRPr="001F71B9">
              <w:rPr>
                <w:sz w:val="24"/>
                <w:szCs w:val="24"/>
              </w:rPr>
              <w:t xml:space="preserve"> </w:t>
            </w:r>
            <w:proofErr w:type="spellStart"/>
            <w:r w:rsidRPr="001F71B9">
              <w:rPr>
                <w:sz w:val="24"/>
                <w:szCs w:val="24"/>
              </w:rPr>
              <w:t>bunların</w:t>
            </w:r>
            <w:proofErr w:type="spellEnd"/>
            <w:r w:rsidRPr="001F71B9">
              <w:rPr>
                <w:sz w:val="24"/>
                <w:szCs w:val="24"/>
              </w:rPr>
              <w:t xml:space="preserve"> </w:t>
            </w:r>
            <w:proofErr w:type="spellStart"/>
            <w:r w:rsidRPr="001F71B9">
              <w:rPr>
                <w:sz w:val="24"/>
                <w:szCs w:val="24"/>
              </w:rPr>
              <w:t>eritilmesi</w:t>
            </w:r>
            <w:proofErr w:type="spellEnd"/>
            <w:r w:rsidRPr="001F71B9">
              <w:rPr>
                <w:sz w:val="24"/>
                <w:szCs w:val="24"/>
              </w:rPr>
              <w:t xml:space="preserve"> </w:t>
            </w:r>
            <w:proofErr w:type="spellStart"/>
            <w:r w:rsidRPr="001F71B9">
              <w:rPr>
                <w:sz w:val="24"/>
                <w:szCs w:val="24"/>
              </w:rPr>
              <w:t>ile</w:t>
            </w:r>
            <w:proofErr w:type="spellEnd"/>
            <w:r w:rsidRPr="001F71B9">
              <w:rPr>
                <w:sz w:val="24"/>
                <w:szCs w:val="24"/>
              </w:rPr>
              <w:t xml:space="preserve"> </w:t>
            </w:r>
            <w:proofErr w:type="spellStart"/>
            <w:r w:rsidRPr="001F71B9">
              <w:rPr>
                <w:sz w:val="24"/>
                <w:szCs w:val="24"/>
              </w:rPr>
              <w:t>elde</w:t>
            </w:r>
            <w:proofErr w:type="spellEnd"/>
            <w:r w:rsidRPr="001F71B9">
              <w:rPr>
                <w:sz w:val="24"/>
                <w:szCs w:val="24"/>
              </w:rPr>
              <w:t xml:space="preserve"> </w:t>
            </w:r>
            <w:proofErr w:type="spellStart"/>
            <w:r w:rsidRPr="001F71B9">
              <w:rPr>
                <w:sz w:val="24"/>
                <w:szCs w:val="24"/>
              </w:rPr>
              <w:t>dilmiş</w:t>
            </w:r>
            <w:proofErr w:type="spellEnd"/>
            <w:r w:rsidRPr="001F71B9">
              <w:rPr>
                <w:sz w:val="24"/>
                <w:szCs w:val="24"/>
              </w:rPr>
              <w:t xml:space="preserve"> </w:t>
            </w:r>
            <w:proofErr w:type="spellStart"/>
            <w:r w:rsidRPr="001F71B9">
              <w:rPr>
                <w:sz w:val="24"/>
                <w:szCs w:val="24"/>
              </w:rPr>
              <w:t>külçeler</w:t>
            </w:r>
            <w:proofErr w:type="spellEnd"/>
          </w:p>
        </w:tc>
        <w:tc>
          <w:tcPr>
            <w:tcW w:w="988" w:type="dxa"/>
            <w:vAlign w:val="center"/>
            <w:hideMark/>
          </w:tcPr>
          <w:p w:rsidR="00BE1168" w:rsidRPr="001F71B9" w:rsidRDefault="00BE1168" w:rsidP="00BF3486">
            <w:pPr>
              <w:pStyle w:val="NoSpacing"/>
              <w:jc w:val="center"/>
              <w:rPr>
                <w:sz w:val="24"/>
                <w:szCs w:val="24"/>
              </w:rPr>
            </w:pPr>
            <w:r w:rsidRPr="001F71B9">
              <w:rPr>
                <w:sz w:val="24"/>
                <w:szCs w:val="24"/>
              </w:rPr>
              <w:t>786</w:t>
            </w:r>
          </w:p>
        </w:tc>
        <w:tc>
          <w:tcPr>
            <w:tcW w:w="1036" w:type="dxa"/>
            <w:vAlign w:val="center"/>
            <w:hideMark/>
          </w:tcPr>
          <w:p w:rsidR="00BE1168" w:rsidRPr="001F71B9" w:rsidRDefault="00BE1168" w:rsidP="00BF3486">
            <w:pPr>
              <w:pStyle w:val="NoSpacing"/>
              <w:jc w:val="center"/>
              <w:rPr>
                <w:sz w:val="24"/>
                <w:szCs w:val="24"/>
              </w:rPr>
            </w:pPr>
            <w:r w:rsidRPr="001F71B9">
              <w:rPr>
                <w:sz w:val="24"/>
                <w:szCs w:val="24"/>
              </w:rPr>
              <w:t>37</w:t>
            </w:r>
          </w:p>
        </w:tc>
        <w:tc>
          <w:tcPr>
            <w:tcW w:w="992" w:type="dxa"/>
            <w:noWrap/>
            <w:vAlign w:val="center"/>
            <w:hideMark/>
          </w:tcPr>
          <w:p w:rsidR="00BE1168" w:rsidRPr="001F71B9" w:rsidRDefault="00BE1168" w:rsidP="00BF3486">
            <w:pPr>
              <w:pStyle w:val="NoSpacing"/>
              <w:jc w:val="center"/>
              <w:rPr>
                <w:sz w:val="24"/>
                <w:szCs w:val="24"/>
              </w:rPr>
            </w:pPr>
            <w:r w:rsidRPr="001F71B9">
              <w:rPr>
                <w:sz w:val="24"/>
                <w:szCs w:val="24"/>
              </w:rPr>
              <w:t>5.014</w:t>
            </w:r>
          </w:p>
        </w:tc>
        <w:tc>
          <w:tcPr>
            <w:tcW w:w="988" w:type="dxa"/>
            <w:vAlign w:val="center"/>
          </w:tcPr>
          <w:p w:rsidR="00BE1168" w:rsidRPr="001F71B9" w:rsidRDefault="00BE1168" w:rsidP="00BF3486">
            <w:pPr>
              <w:pStyle w:val="NoSpacing"/>
              <w:jc w:val="center"/>
              <w:rPr>
                <w:sz w:val="24"/>
                <w:szCs w:val="24"/>
              </w:rPr>
            </w:pPr>
            <w:r w:rsidRPr="001F71B9">
              <w:rPr>
                <w:sz w:val="24"/>
                <w:szCs w:val="24"/>
              </w:rPr>
              <w:t>3.821</w:t>
            </w:r>
          </w:p>
        </w:tc>
      </w:tr>
    </w:tbl>
    <w:p w:rsidR="00BE1168" w:rsidRPr="001F71B9" w:rsidRDefault="00E13966" w:rsidP="00BF3486">
      <w:pPr>
        <w:pStyle w:val="Quote"/>
        <w:spacing w:after="0" w:line="240" w:lineRule="auto"/>
        <w:rPr>
          <w:sz w:val="24"/>
          <w:szCs w:val="24"/>
        </w:rPr>
      </w:pPr>
      <w:r w:rsidRPr="001F71B9">
        <w:rPr>
          <w:sz w:val="24"/>
          <w:szCs w:val="24"/>
        </w:rPr>
        <w:t>Kaynak: Trade M</w:t>
      </w:r>
      <w:r w:rsidR="00BE1168" w:rsidRPr="001F71B9">
        <w:rPr>
          <w:sz w:val="24"/>
          <w:szCs w:val="24"/>
        </w:rPr>
        <w:t>ap</w:t>
      </w:r>
    </w:p>
    <w:p w:rsidR="00A17E9E" w:rsidRPr="001F71B9" w:rsidRDefault="00A17E9E" w:rsidP="00BF3486">
      <w:pPr>
        <w:spacing w:after="0" w:line="240" w:lineRule="auto"/>
        <w:rPr>
          <w:sz w:val="24"/>
          <w:szCs w:val="24"/>
        </w:rPr>
      </w:pPr>
    </w:p>
    <w:p w:rsidR="00E13966" w:rsidRPr="001F71B9" w:rsidRDefault="00E13966" w:rsidP="00BF3486">
      <w:pPr>
        <w:pStyle w:val="Heading1"/>
        <w:spacing w:before="0" w:line="240" w:lineRule="auto"/>
        <w:jc w:val="center"/>
        <w:rPr>
          <w:rFonts w:asciiTheme="minorHAnsi" w:hAnsiTheme="minorHAnsi"/>
          <w:sz w:val="24"/>
          <w:szCs w:val="24"/>
        </w:rPr>
      </w:pPr>
    </w:p>
    <w:p w:rsidR="00C85E2A" w:rsidRPr="001F71B9" w:rsidRDefault="00C85E2A" w:rsidP="00BF3486">
      <w:pPr>
        <w:spacing w:after="0" w:line="240" w:lineRule="auto"/>
        <w:rPr>
          <w:rFonts w:eastAsiaTheme="majorEastAsia" w:cstheme="majorBidi"/>
          <w:b/>
          <w:bCs/>
          <w:color w:val="365F91" w:themeColor="accent1" w:themeShade="BF"/>
          <w:sz w:val="24"/>
          <w:szCs w:val="24"/>
        </w:rPr>
      </w:pPr>
      <w:r w:rsidRPr="001F71B9">
        <w:rPr>
          <w:sz w:val="24"/>
          <w:szCs w:val="24"/>
        </w:rPr>
        <w:br w:type="page"/>
      </w:r>
    </w:p>
    <w:p w:rsidR="0001467B" w:rsidRPr="001F71B9" w:rsidRDefault="0001467B" w:rsidP="00BF3486">
      <w:pPr>
        <w:pStyle w:val="Heading1"/>
        <w:spacing w:before="0" w:line="240" w:lineRule="auto"/>
        <w:jc w:val="center"/>
        <w:rPr>
          <w:rFonts w:asciiTheme="minorHAnsi" w:hAnsiTheme="minorHAnsi"/>
          <w:sz w:val="24"/>
          <w:szCs w:val="24"/>
        </w:rPr>
      </w:pPr>
      <w:bookmarkStart w:id="25" w:name="_Toc482353123"/>
      <w:r w:rsidRPr="001F71B9">
        <w:rPr>
          <w:rFonts w:asciiTheme="minorHAnsi" w:hAnsiTheme="minorHAnsi"/>
          <w:sz w:val="24"/>
          <w:szCs w:val="24"/>
        </w:rPr>
        <w:lastRenderedPageBreak/>
        <w:t>Faydalı Bilgiler</w:t>
      </w:r>
      <w:bookmarkEnd w:id="25"/>
    </w:p>
    <w:p w:rsidR="004E7C09" w:rsidRPr="001F71B9" w:rsidRDefault="004E7C09" w:rsidP="00BF3486">
      <w:pPr>
        <w:spacing w:after="0" w:line="240" w:lineRule="auto"/>
        <w:rPr>
          <w:sz w:val="24"/>
          <w:szCs w:val="24"/>
        </w:rPr>
      </w:pPr>
    </w:p>
    <w:p w:rsidR="00012208" w:rsidRPr="001F71B9" w:rsidRDefault="00012208" w:rsidP="00BF3486">
      <w:pPr>
        <w:spacing w:after="0" w:line="240" w:lineRule="auto"/>
        <w:jc w:val="center"/>
        <w:rPr>
          <w:rFonts w:eastAsia="Times New Roman" w:cs="Times New Roman"/>
          <w:b/>
          <w:sz w:val="24"/>
          <w:szCs w:val="24"/>
          <w:lang w:eastAsia="tr-TR"/>
        </w:rPr>
      </w:pPr>
      <w:r w:rsidRPr="001F71B9">
        <w:rPr>
          <w:rFonts w:eastAsia="Times New Roman" w:cs="Times New Roman"/>
          <w:b/>
          <w:sz w:val="24"/>
          <w:szCs w:val="24"/>
          <w:lang w:eastAsia="tr-TR"/>
        </w:rPr>
        <w:t>Türkiye-</w:t>
      </w:r>
      <w:r w:rsidR="00E13966" w:rsidRPr="001F71B9">
        <w:rPr>
          <w:rFonts w:eastAsia="Times New Roman" w:cs="Times New Roman"/>
          <w:b/>
          <w:sz w:val="24"/>
          <w:szCs w:val="24"/>
          <w:lang w:eastAsia="tr-TR"/>
        </w:rPr>
        <w:t>Tunus</w:t>
      </w:r>
      <w:r w:rsidRPr="001F71B9">
        <w:rPr>
          <w:rFonts w:eastAsia="Times New Roman" w:cs="Times New Roman"/>
          <w:b/>
          <w:sz w:val="24"/>
          <w:szCs w:val="24"/>
          <w:lang w:eastAsia="tr-TR"/>
        </w:rPr>
        <w:t xml:space="preserve"> İş Konseyi</w:t>
      </w:r>
    </w:p>
    <w:p w:rsidR="00012208" w:rsidRPr="001F71B9" w:rsidRDefault="00012208" w:rsidP="00BF3486">
      <w:pPr>
        <w:spacing w:after="0" w:line="240" w:lineRule="auto"/>
        <w:jc w:val="center"/>
        <w:rPr>
          <w:rFonts w:eastAsia="Times New Roman" w:cs="Times New Roman"/>
          <w:sz w:val="24"/>
          <w:szCs w:val="24"/>
          <w:lang w:eastAsia="tr-TR"/>
        </w:rPr>
      </w:pPr>
      <w:r w:rsidRPr="001F71B9">
        <w:rPr>
          <w:rFonts w:eastAsia="Times New Roman" w:cs="Times New Roman"/>
          <w:b/>
          <w:sz w:val="24"/>
          <w:szCs w:val="24"/>
          <w:lang w:eastAsia="tr-TR"/>
        </w:rPr>
        <w:t>Kuruluş Yılı</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r w:rsidR="00E13966" w:rsidRPr="001F71B9">
        <w:rPr>
          <w:rFonts w:eastAsia="Times New Roman" w:cs="Times New Roman"/>
          <w:sz w:val="24"/>
          <w:szCs w:val="24"/>
          <w:lang w:eastAsia="tr-TR"/>
        </w:rPr>
        <w:t>1990</w:t>
      </w:r>
    </w:p>
    <w:p w:rsidR="00012208" w:rsidRPr="001F71B9" w:rsidRDefault="00012208" w:rsidP="00BF3486">
      <w:pPr>
        <w:spacing w:after="0" w:line="240" w:lineRule="auto"/>
        <w:jc w:val="center"/>
        <w:rPr>
          <w:rFonts w:eastAsia="Times New Roman" w:cs="Times New Roman"/>
          <w:sz w:val="24"/>
          <w:szCs w:val="24"/>
          <w:lang w:eastAsia="tr-TR"/>
        </w:rPr>
      </w:pPr>
      <w:r w:rsidRPr="001F71B9">
        <w:rPr>
          <w:rFonts w:eastAsia="Times New Roman" w:cs="Times New Roman"/>
          <w:b/>
          <w:sz w:val="24"/>
          <w:szCs w:val="24"/>
          <w:lang w:eastAsia="tr-TR"/>
        </w:rPr>
        <w:t>Türk Tarafı Başkanı</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r w:rsidR="00E13966" w:rsidRPr="001F71B9">
        <w:rPr>
          <w:rFonts w:eastAsia="Times New Roman" w:cs="Times New Roman"/>
          <w:sz w:val="24"/>
          <w:szCs w:val="24"/>
          <w:lang w:eastAsia="tr-TR"/>
        </w:rPr>
        <w:t>Uğur Tevfik Doğan</w:t>
      </w:r>
    </w:p>
    <w:p w:rsidR="00012208" w:rsidRPr="001F71B9" w:rsidRDefault="00012208" w:rsidP="00BF3486">
      <w:pPr>
        <w:spacing w:after="0" w:line="240" w:lineRule="auto"/>
        <w:jc w:val="center"/>
        <w:rPr>
          <w:rFonts w:eastAsia="Times New Roman" w:cs="Times New Roman"/>
          <w:sz w:val="24"/>
          <w:szCs w:val="24"/>
          <w:lang w:eastAsia="tr-TR"/>
        </w:rPr>
      </w:pPr>
      <w:r w:rsidRPr="001F71B9">
        <w:rPr>
          <w:rFonts w:eastAsia="Times New Roman" w:cs="Times New Roman"/>
          <w:b/>
          <w:sz w:val="24"/>
          <w:szCs w:val="24"/>
          <w:lang w:eastAsia="tr-TR"/>
        </w:rPr>
        <w:t>Firma / Unvan</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r w:rsidR="00E13966" w:rsidRPr="001F71B9">
        <w:rPr>
          <w:sz w:val="24"/>
          <w:szCs w:val="24"/>
        </w:rPr>
        <w:t>Murat Proje Danışmanlık ve Tic.Ltd.Şti. / Firma Müdürü</w:t>
      </w:r>
    </w:p>
    <w:p w:rsidR="00012208" w:rsidRPr="001F71B9" w:rsidRDefault="00012208" w:rsidP="00BF3486">
      <w:pPr>
        <w:spacing w:after="0" w:line="240" w:lineRule="auto"/>
        <w:jc w:val="center"/>
        <w:rPr>
          <w:rFonts w:eastAsia="Times New Roman" w:cs="Times New Roman"/>
          <w:sz w:val="24"/>
          <w:szCs w:val="24"/>
          <w:lang w:eastAsia="tr-TR"/>
        </w:rPr>
      </w:pPr>
      <w:r w:rsidRPr="001F71B9">
        <w:rPr>
          <w:rFonts w:eastAsia="Times New Roman" w:cs="Times New Roman"/>
          <w:b/>
          <w:sz w:val="24"/>
          <w:szCs w:val="24"/>
          <w:lang w:eastAsia="tr-TR"/>
        </w:rPr>
        <w:t>Karşı Kanat</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r w:rsidR="00E13966" w:rsidRPr="001F71B9">
        <w:rPr>
          <w:rFonts w:cs="Times New Roman"/>
          <w:sz w:val="24"/>
          <w:szCs w:val="24"/>
          <w:lang w:eastAsia="tr-TR"/>
        </w:rPr>
        <w:t>Tunus Sanayi ve El Sanatlari Birliği (UTICA)</w:t>
      </w:r>
    </w:p>
    <w:p w:rsidR="00390E33" w:rsidRPr="001F71B9" w:rsidRDefault="00012208" w:rsidP="00BF3486">
      <w:pPr>
        <w:spacing w:after="0" w:line="240" w:lineRule="auto"/>
        <w:jc w:val="center"/>
        <w:rPr>
          <w:rFonts w:eastAsia="Times New Roman" w:cs="Times New Roman"/>
          <w:sz w:val="24"/>
          <w:szCs w:val="24"/>
          <w:lang w:eastAsia="tr-TR"/>
        </w:rPr>
      </w:pPr>
      <w:r w:rsidRPr="001F71B9">
        <w:rPr>
          <w:rFonts w:eastAsia="Times New Roman" w:cs="Times New Roman"/>
          <w:b/>
          <w:sz w:val="24"/>
          <w:szCs w:val="24"/>
          <w:lang w:eastAsia="tr-TR"/>
        </w:rPr>
        <w:t>Karşı Kanat Başkanı</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r w:rsidR="00901BFC" w:rsidRPr="001F71B9">
        <w:rPr>
          <w:rFonts w:cs="Times New Roman"/>
          <w:sz w:val="24"/>
          <w:szCs w:val="24"/>
          <w:lang w:eastAsia="tr-TR"/>
        </w:rPr>
        <w:t>Slim Jouni</w:t>
      </w:r>
    </w:p>
    <w:p w:rsidR="00E13966" w:rsidRPr="001F71B9" w:rsidRDefault="00012208" w:rsidP="00BF3486">
      <w:pPr>
        <w:spacing w:after="0" w:line="240" w:lineRule="auto"/>
        <w:jc w:val="center"/>
        <w:rPr>
          <w:rFonts w:cs="Times New Roman"/>
          <w:sz w:val="24"/>
          <w:szCs w:val="24"/>
          <w:lang w:eastAsia="tr-TR"/>
        </w:rPr>
      </w:pPr>
      <w:r w:rsidRPr="001F71B9">
        <w:rPr>
          <w:rFonts w:eastAsia="Times New Roman" w:cs="Times New Roman"/>
          <w:b/>
          <w:sz w:val="24"/>
          <w:szCs w:val="24"/>
          <w:lang w:eastAsia="tr-TR"/>
        </w:rPr>
        <w:t>Web Adresi</w:t>
      </w:r>
      <w:r w:rsidRPr="001F71B9">
        <w:rPr>
          <w:rFonts w:eastAsia="Times New Roman" w:cs="Times New Roman"/>
          <w:sz w:val="24"/>
          <w:szCs w:val="24"/>
          <w:lang w:eastAsia="tr-TR"/>
        </w:rPr>
        <w:t>:</w:t>
      </w:r>
      <w:r w:rsidR="00070759" w:rsidRPr="001F71B9">
        <w:rPr>
          <w:rFonts w:eastAsia="Times New Roman" w:cs="Times New Roman"/>
          <w:sz w:val="24"/>
          <w:szCs w:val="24"/>
          <w:lang w:eastAsia="tr-TR"/>
        </w:rPr>
        <w:t xml:space="preserve"> </w:t>
      </w:r>
      <w:hyperlink r:id="rId14" w:history="1">
        <w:r w:rsidR="00E13966" w:rsidRPr="001F71B9">
          <w:rPr>
            <w:rStyle w:val="Hyperlink"/>
            <w:rFonts w:cs="Times New Roman"/>
            <w:sz w:val="24"/>
            <w:szCs w:val="24"/>
            <w:lang w:eastAsia="tr-TR"/>
          </w:rPr>
          <w:t>www.utica.org.tn</w:t>
        </w:r>
      </w:hyperlink>
    </w:p>
    <w:p w:rsidR="00BF3486" w:rsidRDefault="00BF3486" w:rsidP="00BF3486">
      <w:pPr>
        <w:pStyle w:val="Heading1"/>
        <w:spacing w:before="0" w:line="240" w:lineRule="auto"/>
        <w:jc w:val="center"/>
        <w:rPr>
          <w:rFonts w:asciiTheme="minorHAnsi" w:eastAsia="Times New Roman" w:hAnsiTheme="minorHAnsi"/>
          <w:sz w:val="24"/>
          <w:szCs w:val="24"/>
          <w:lang w:eastAsia="tr-TR"/>
        </w:rPr>
      </w:pPr>
      <w:bookmarkStart w:id="26" w:name="_Toc482353124"/>
    </w:p>
    <w:p w:rsidR="00012208" w:rsidRPr="001F71B9" w:rsidRDefault="00012208" w:rsidP="00BF3486">
      <w:pPr>
        <w:pStyle w:val="Heading1"/>
        <w:spacing w:before="0" w:line="240" w:lineRule="auto"/>
        <w:jc w:val="center"/>
        <w:rPr>
          <w:rFonts w:asciiTheme="minorHAnsi" w:eastAsia="Times New Roman" w:hAnsiTheme="minorHAnsi"/>
          <w:sz w:val="24"/>
          <w:szCs w:val="24"/>
          <w:lang w:eastAsia="tr-TR"/>
        </w:rPr>
      </w:pPr>
      <w:bookmarkStart w:id="27" w:name="_GoBack"/>
      <w:bookmarkEnd w:id="27"/>
      <w:r w:rsidRPr="001F71B9">
        <w:rPr>
          <w:rFonts w:asciiTheme="minorHAnsi" w:eastAsia="Times New Roman" w:hAnsiTheme="minorHAnsi"/>
          <w:sz w:val="24"/>
          <w:szCs w:val="24"/>
          <w:lang w:eastAsia="tr-TR"/>
        </w:rPr>
        <w:t>Yürütme Kurulu Üyeleri</w:t>
      </w:r>
      <w:bookmarkEnd w:id="26"/>
    </w:p>
    <w:tbl>
      <w:tblPr>
        <w:tblStyle w:val="TableGrid"/>
        <w:tblW w:w="9256" w:type="dxa"/>
        <w:tblLook w:val="04A0" w:firstRow="1" w:lastRow="0" w:firstColumn="1" w:lastColumn="0" w:noHBand="0" w:noVBand="1"/>
      </w:tblPr>
      <w:tblGrid>
        <w:gridCol w:w="1061"/>
        <w:gridCol w:w="1635"/>
        <w:gridCol w:w="2989"/>
        <w:gridCol w:w="1734"/>
        <w:gridCol w:w="1837"/>
      </w:tblGrid>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b/>
                <w:sz w:val="24"/>
                <w:szCs w:val="24"/>
              </w:rPr>
            </w:pPr>
            <w:proofErr w:type="spellStart"/>
            <w:r w:rsidRPr="001F71B9">
              <w:rPr>
                <w:rFonts w:eastAsia="Times New Roman"/>
                <w:b/>
                <w:sz w:val="24"/>
                <w:szCs w:val="24"/>
              </w:rPr>
              <w:t>Kişi</w:t>
            </w:r>
            <w:proofErr w:type="spellEnd"/>
            <w:r w:rsidRPr="001F71B9">
              <w:rPr>
                <w:rFonts w:eastAsia="Times New Roman"/>
                <w:b/>
                <w:sz w:val="24"/>
                <w:szCs w:val="24"/>
              </w:rPr>
              <w:t xml:space="preserve"> </w:t>
            </w:r>
            <w:proofErr w:type="spellStart"/>
            <w:r w:rsidRPr="001F71B9">
              <w:rPr>
                <w:rFonts w:eastAsia="Times New Roman"/>
                <w:b/>
                <w:sz w:val="24"/>
                <w:szCs w:val="24"/>
              </w:rPr>
              <w:t>Adı</w:t>
            </w:r>
            <w:proofErr w:type="spellEnd"/>
          </w:p>
        </w:tc>
        <w:tc>
          <w:tcPr>
            <w:tcW w:w="1358" w:type="dxa"/>
            <w:vAlign w:val="center"/>
            <w:hideMark/>
          </w:tcPr>
          <w:p w:rsidR="00E13966" w:rsidRPr="001F71B9" w:rsidRDefault="00E13966" w:rsidP="00BF3486">
            <w:pPr>
              <w:pStyle w:val="NoSpacing"/>
              <w:jc w:val="center"/>
              <w:rPr>
                <w:rFonts w:eastAsia="Times New Roman"/>
                <w:b/>
                <w:sz w:val="24"/>
                <w:szCs w:val="24"/>
              </w:rPr>
            </w:pPr>
            <w:proofErr w:type="spellStart"/>
            <w:r w:rsidRPr="001F71B9">
              <w:rPr>
                <w:rFonts w:eastAsia="Times New Roman"/>
                <w:b/>
                <w:sz w:val="24"/>
                <w:szCs w:val="24"/>
              </w:rPr>
              <w:t>Kişi</w:t>
            </w:r>
            <w:proofErr w:type="spellEnd"/>
            <w:r w:rsidRPr="001F71B9">
              <w:rPr>
                <w:rFonts w:eastAsia="Times New Roman"/>
                <w:b/>
                <w:sz w:val="24"/>
                <w:szCs w:val="24"/>
              </w:rPr>
              <w:t xml:space="preserve"> </w:t>
            </w:r>
            <w:proofErr w:type="spellStart"/>
            <w:r w:rsidRPr="001F71B9">
              <w:rPr>
                <w:rFonts w:eastAsia="Times New Roman"/>
                <w:b/>
                <w:sz w:val="24"/>
                <w:szCs w:val="24"/>
              </w:rPr>
              <w:t>Soyadı</w:t>
            </w:r>
            <w:proofErr w:type="spellEnd"/>
          </w:p>
        </w:tc>
        <w:tc>
          <w:tcPr>
            <w:tcW w:w="3243" w:type="dxa"/>
            <w:vAlign w:val="center"/>
            <w:hideMark/>
          </w:tcPr>
          <w:p w:rsidR="00E13966" w:rsidRPr="001F71B9" w:rsidRDefault="00E13966" w:rsidP="00BF3486">
            <w:pPr>
              <w:pStyle w:val="NoSpacing"/>
              <w:jc w:val="center"/>
              <w:rPr>
                <w:rFonts w:eastAsia="Times New Roman"/>
                <w:b/>
                <w:sz w:val="24"/>
                <w:szCs w:val="24"/>
              </w:rPr>
            </w:pPr>
            <w:r w:rsidRPr="001F71B9">
              <w:rPr>
                <w:rFonts w:eastAsia="Times New Roman"/>
                <w:b/>
                <w:sz w:val="24"/>
                <w:szCs w:val="24"/>
              </w:rPr>
              <w:t>Firma</w:t>
            </w:r>
          </w:p>
        </w:tc>
        <w:tc>
          <w:tcPr>
            <w:tcW w:w="1820" w:type="dxa"/>
            <w:vAlign w:val="center"/>
            <w:hideMark/>
          </w:tcPr>
          <w:p w:rsidR="00E13966" w:rsidRPr="001F71B9" w:rsidRDefault="00E13966" w:rsidP="00BF3486">
            <w:pPr>
              <w:pStyle w:val="NoSpacing"/>
              <w:jc w:val="center"/>
              <w:rPr>
                <w:rFonts w:eastAsia="Times New Roman"/>
                <w:b/>
                <w:sz w:val="24"/>
                <w:szCs w:val="24"/>
              </w:rPr>
            </w:pPr>
            <w:r w:rsidRPr="001F71B9">
              <w:rPr>
                <w:rFonts w:eastAsia="Times New Roman"/>
                <w:b/>
                <w:sz w:val="24"/>
                <w:szCs w:val="24"/>
              </w:rPr>
              <w:t xml:space="preserve">Firma </w:t>
            </w:r>
            <w:proofErr w:type="spellStart"/>
            <w:r w:rsidRPr="001F71B9">
              <w:rPr>
                <w:rFonts w:eastAsia="Times New Roman"/>
                <w:b/>
                <w:sz w:val="24"/>
                <w:szCs w:val="24"/>
              </w:rPr>
              <w:t>Unvanı</w:t>
            </w:r>
            <w:proofErr w:type="spellEnd"/>
          </w:p>
        </w:tc>
        <w:tc>
          <w:tcPr>
            <w:tcW w:w="1948" w:type="dxa"/>
            <w:vAlign w:val="center"/>
            <w:hideMark/>
          </w:tcPr>
          <w:p w:rsidR="00E13966" w:rsidRPr="001F71B9" w:rsidRDefault="00E13966" w:rsidP="00BF3486">
            <w:pPr>
              <w:pStyle w:val="NoSpacing"/>
              <w:jc w:val="center"/>
              <w:rPr>
                <w:rFonts w:eastAsia="Times New Roman"/>
                <w:b/>
                <w:sz w:val="24"/>
                <w:szCs w:val="24"/>
              </w:rPr>
            </w:pPr>
            <w:proofErr w:type="spellStart"/>
            <w:r w:rsidRPr="001F71B9">
              <w:rPr>
                <w:rFonts w:eastAsia="Times New Roman"/>
                <w:b/>
                <w:sz w:val="24"/>
                <w:szCs w:val="24"/>
              </w:rPr>
              <w:t>Konsey</w:t>
            </w:r>
            <w:proofErr w:type="spellEnd"/>
            <w:r w:rsidRPr="001F71B9">
              <w:rPr>
                <w:rFonts w:eastAsia="Times New Roman"/>
                <w:b/>
                <w:sz w:val="24"/>
                <w:szCs w:val="24"/>
              </w:rPr>
              <w:t xml:space="preserve"> </w:t>
            </w:r>
            <w:proofErr w:type="spellStart"/>
            <w:r w:rsidRPr="001F71B9">
              <w:rPr>
                <w:rFonts w:eastAsia="Times New Roman"/>
                <w:b/>
                <w:sz w:val="24"/>
                <w:szCs w:val="24"/>
              </w:rPr>
              <w:t>Unvanı</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Uğur Tevfik</w:t>
            </w:r>
          </w:p>
        </w:tc>
        <w:tc>
          <w:tcPr>
            <w:tcW w:w="1358"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Doğan</w:t>
            </w:r>
          </w:p>
        </w:tc>
        <w:tc>
          <w:tcPr>
            <w:tcW w:w="3243"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 xml:space="preserve">Murat </w:t>
            </w:r>
            <w:proofErr w:type="spellStart"/>
            <w:r w:rsidRPr="001F71B9">
              <w:rPr>
                <w:rFonts w:eastAsia="Times New Roman"/>
                <w:sz w:val="24"/>
                <w:szCs w:val="24"/>
              </w:rPr>
              <w:t>Proje</w:t>
            </w:r>
            <w:proofErr w:type="spellEnd"/>
            <w:r w:rsidRPr="001F71B9">
              <w:rPr>
                <w:rFonts w:eastAsia="Times New Roman"/>
                <w:sz w:val="24"/>
                <w:szCs w:val="24"/>
              </w:rPr>
              <w:t xml:space="preserve"> </w:t>
            </w:r>
            <w:proofErr w:type="spellStart"/>
            <w:r w:rsidRPr="001F71B9">
              <w:rPr>
                <w:rFonts w:eastAsia="Times New Roman"/>
                <w:sz w:val="24"/>
                <w:szCs w:val="24"/>
              </w:rPr>
              <w:t>Danışmanlık</w:t>
            </w:r>
            <w:proofErr w:type="spellEnd"/>
            <w:r w:rsidRPr="001F71B9">
              <w:rPr>
                <w:rFonts w:eastAsia="Times New Roman"/>
                <w:sz w:val="24"/>
                <w:szCs w:val="24"/>
              </w:rPr>
              <w:t xml:space="preserve"> ve </w:t>
            </w:r>
            <w:proofErr w:type="spellStart"/>
            <w:r w:rsidRPr="001F71B9">
              <w:rPr>
                <w:rFonts w:eastAsia="Times New Roman"/>
                <w:sz w:val="24"/>
                <w:szCs w:val="24"/>
              </w:rPr>
              <w:t>Tic.Ltd.Şti</w:t>
            </w:r>
            <w:proofErr w:type="spellEnd"/>
            <w:r w:rsidRPr="001F71B9">
              <w:rPr>
                <w:rFonts w:eastAsia="Times New Roman"/>
                <w:sz w:val="24"/>
                <w:szCs w:val="24"/>
              </w:rPr>
              <w:t>.</w:t>
            </w:r>
          </w:p>
        </w:tc>
        <w:tc>
          <w:tcPr>
            <w:tcW w:w="1820"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 xml:space="preserve">Firma </w:t>
            </w:r>
            <w:proofErr w:type="spellStart"/>
            <w:r w:rsidRPr="001F71B9">
              <w:rPr>
                <w:rFonts w:eastAsia="Times New Roman"/>
                <w:sz w:val="24"/>
                <w:szCs w:val="24"/>
              </w:rPr>
              <w:t>Müdürü</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w:t>
            </w:r>
            <w:proofErr w:type="spellStart"/>
            <w:r w:rsidRPr="001F71B9">
              <w:rPr>
                <w:rFonts w:eastAsia="Times New Roman"/>
                <w:sz w:val="24"/>
                <w:szCs w:val="24"/>
              </w:rPr>
              <w:t>Başkanı</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Mahmut</w:t>
            </w:r>
          </w:p>
        </w:tc>
        <w:tc>
          <w:tcPr>
            <w:tcW w:w="1358"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Işık</w:t>
            </w:r>
          </w:p>
        </w:tc>
        <w:tc>
          <w:tcPr>
            <w:tcW w:w="3243"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 xml:space="preserve">Medkon Hat </w:t>
            </w:r>
            <w:proofErr w:type="spellStart"/>
            <w:r w:rsidRPr="001F71B9">
              <w:rPr>
                <w:rFonts w:eastAsia="Times New Roman"/>
                <w:sz w:val="24"/>
                <w:szCs w:val="24"/>
              </w:rPr>
              <w:t>İşletmeciliği</w:t>
            </w:r>
            <w:proofErr w:type="spellEnd"/>
            <w:r w:rsidRPr="001F71B9">
              <w:rPr>
                <w:rFonts w:eastAsia="Times New Roman"/>
                <w:sz w:val="24"/>
                <w:szCs w:val="24"/>
              </w:rPr>
              <w:t xml:space="preserve"> Denizcilik ve Ticaret A.Ş.</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Genel</w:t>
            </w:r>
            <w:proofErr w:type="spellEnd"/>
            <w:r w:rsidRPr="001F71B9">
              <w:rPr>
                <w:rFonts w:eastAsia="Times New Roman"/>
                <w:sz w:val="24"/>
                <w:szCs w:val="24"/>
              </w:rPr>
              <w:t xml:space="preserve"> </w:t>
            </w:r>
            <w:proofErr w:type="spellStart"/>
            <w:r w:rsidRPr="001F71B9">
              <w:rPr>
                <w:rFonts w:eastAsia="Times New Roman"/>
                <w:sz w:val="24"/>
                <w:szCs w:val="24"/>
              </w:rPr>
              <w:t>Müdür</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w:t>
            </w:r>
            <w:proofErr w:type="spellStart"/>
            <w:r w:rsidRPr="001F71B9">
              <w:rPr>
                <w:rFonts w:eastAsia="Times New Roman"/>
                <w:sz w:val="24"/>
                <w:szCs w:val="24"/>
              </w:rPr>
              <w:t>Başkan</w:t>
            </w:r>
            <w:proofErr w:type="spellEnd"/>
            <w:r w:rsidRPr="001F71B9">
              <w:rPr>
                <w:rFonts w:eastAsia="Times New Roman"/>
                <w:sz w:val="24"/>
                <w:szCs w:val="24"/>
              </w:rPr>
              <w:t xml:space="preserve"> </w:t>
            </w:r>
            <w:proofErr w:type="spellStart"/>
            <w:r w:rsidRPr="001F71B9">
              <w:rPr>
                <w:rFonts w:eastAsia="Times New Roman"/>
                <w:sz w:val="24"/>
                <w:szCs w:val="24"/>
              </w:rPr>
              <w:t>Yardımcısı</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Sinem</w:t>
            </w:r>
          </w:p>
        </w:tc>
        <w:tc>
          <w:tcPr>
            <w:tcW w:w="135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Ünlütürk</w:t>
            </w:r>
            <w:proofErr w:type="spellEnd"/>
          </w:p>
        </w:tc>
        <w:tc>
          <w:tcPr>
            <w:tcW w:w="3243"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Arkas</w:t>
            </w:r>
            <w:proofErr w:type="spellEnd"/>
            <w:r w:rsidRPr="001F71B9">
              <w:rPr>
                <w:rFonts w:eastAsia="Times New Roman"/>
                <w:sz w:val="24"/>
                <w:szCs w:val="24"/>
              </w:rPr>
              <w:t xml:space="preserve"> </w:t>
            </w:r>
            <w:proofErr w:type="spellStart"/>
            <w:r w:rsidRPr="001F71B9">
              <w:rPr>
                <w:rFonts w:eastAsia="Times New Roman"/>
                <w:sz w:val="24"/>
                <w:szCs w:val="24"/>
              </w:rPr>
              <w:t>Lojistik</w:t>
            </w:r>
            <w:proofErr w:type="spellEnd"/>
            <w:r w:rsidRPr="001F71B9">
              <w:rPr>
                <w:rFonts w:eastAsia="Times New Roman"/>
                <w:sz w:val="24"/>
                <w:szCs w:val="24"/>
              </w:rPr>
              <w:t xml:space="preserve"> A.Ş.</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Bölge</w:t>
            </w:r>
            <w:proofErr w:type="spellEnd"/>
            <w:r w:rsidRPr="001F71B9">
              <w:rPr>
                <w:rFonts w:eastAsia="Times New Roman"/>
                <w:sz w:val="24"/>
                <w:szCs w:val="24"/>
              </w:rPr>
              <w:t xml:space="preserve"> </w:t>
            </w:r>
            <w:proofErr w:type="spellStart"/>
            <w:r w:rsidRPr="001F71B9">
              <w:rPr>
                <w:rFonts w:eastAsia="Times New Roman"/>
                <w:sz w:val="24"/>
                <w:szCs w:val="24"/>
              </w:rPr>
              <w:t>Müdürü</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YK </w:t>
            </w:r>
            <w:proofErr w:type="spellStart"/>
            <w:r w:rsidRPr="001F71B9">
              <w:rPr>
                <w:rFonts w:eastAsia="Times New Roman"/>
                <w:sz w:val="24"/>
                <w:szCs w:val="24"/>
              </w:rPr>
              <w:t>Üyesi</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Alim</w:t>
            </w:r>
          </w:p>
        </w:tc>
        <w:tc>
          <w:tcPr>
            <w:tcW w:w="135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Küçükpehlivan</w:t>
            </w:r>
            <w:proofErr w:type="spellEnd"/>
          </w:p>
        </w:tc>
        <w:tc>
          <w:tcPr>
            <w:tcW w:w="3243"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Başarsoft</w:t>
            </w:r>
            <w:proofErr w:type="spellEnd"/>
            <w:r w:rsidRPr="001F71B9">
              <w:rPr>
                <w:rFonts w:eastAsia="Times New Roman"/>
                <w:sz w:val="24"/>
                <w:szCs w:val="24"/>
              </w:rPr>
              <w:t xml:space="preserve"> </w:t>
            </w:r>
            <w:proofErr w:type="spellStart"/>
            <w:r w:rsidRPr="001F71B9">
              <w:rPr>
                <w:rFonts w:eastAsia="Times New Roman"/>
                <w:sz w:val="24"/>
                <w:szCs w:val="24"/>
              </w:rPr>
              <w:t>Bilgi</w:t>
            </w:r>
            <w:proofErr w:type="spellEnd"/>
            <w:r w:rsidRPr="001F71B9">
              <w:rPr>
                <w:rFonts w:eastAsia="Times New Roman"/>
                <w:sz w:val="24"/>
                <w:szCs w:val="24"/>
              </w:rPr>
              <w:t xml:space="preserve"> </w:t>
            </w:r>
            <w:proofErr w:type="spellStart"/>
            <w:r w:rsidRPr="001F71B9">
              <w:rPr>
                <w:rFonts w:eastAsia="Times New Roman"/>
                <w:sz w:val="24"/>
                <w:szCs w:val="24"/>
              </w:rPr>
              <w:t>Tekonolojileri</w:t>
            </w:r>
            <w:proofErr w:type="spellEnd"/>
            <w:r w:rsidRPr="001F71B9">
              <w:rPr>
                <w:rFonts w:eastAsia="Times New Roman"/>
                <w:sz w:val="24"/>
                <w:szCs w:val="24"/>
              </w:rPr>
              <w:t xml:space="preserve"> A.Ş.</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Yön</w:t>
            </w:r>
            <w:proofErr w:type="spellEnd"/>
            <w:r w:rsidRPr="001F71B9">
              <w:rPr>
                <w:rFonts w:eastAsia="Times New Roman"/>
                <w:sz w:val="24"/>
                <w:szCs w:val="24"/>
              </w:rPr>
              <w:t xml:space="preserve">. Kur. </w:t>
            </w:r>
            <w:proofErr w:type="spellStart"/>
            <w:r w:rsidRPr="001F71B9">
              <w:rPr>
                <w:rFonts w:eastAsia="Times New Roman"/>
                <w:sz w:val="24"/>
                <w:szCs w:val="24"/>
              </w:rPr>
              <w:t>Bşk</w:t>
            </w:r>
            <w:proofErr w:type="spellEnd"/>
            <w:r w:rsidRPr="001F71B9">
              <w:rPr>
                <w:rFonts w:eastAsia="Times New Roman"/>
                <w:sz w:val="24"/>
                <w:szCs w:val="24"/>
              </w:rPr>
              <w:t xml:space="preserve">. &amp; Gen. </w:t>
            </w:r>
            <w:proofErr w:type="spellStart"/>
            <w:r w:rsidRPr="001F71B9">
              <w:rPr>
                <w:rFonts w:eastAsia="Times New Roman"/>
                <w:sz w:val="24"/>
                <w:szCs w:val="24"/>
              </w:rPr>
              <w:t>Müd</w:t>
            </w:r>
            <w:proofErr w:type="spellEnd"/>
            <w:r w:rsidRPr="001F71B9">
              <w:rPr>
                <w:rFonts w:eastAsia="Times New Roman"/>
                <w:sz w:val="24"/>
                <w:szCs w:val="24"/>
              </w:rPr>
              <w:t>.</w:t>
            </w:r>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YK </w:t>
            </w:r>
            <w:proofErr w:type="spellStart"/>
            <w:r w:rsidRPr="001F71B9">
              <w:rPr>
                <w:rFonts w:eastAsia="Times New Roman"/>
                <w:sz w:val="24"/>
                <w:szCs w:val="24"/>
              </w:rPr>
              <w:t>Üyesi</w:t>
            </w:r>
            <w:proofErr w:type="spellEnd"/>
          </w:p>
        </w:tc>
      </w:tr>
      <w:tr w:rsidR="00E13966" w:rsidRPr="001F71B9" w:rsidTr="00E13966">
        <w:trPr>
          <w:trHeight w:val="467"/>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Mehmet Ali</w:t>
            </w:r>
          </w:p>
        </w:tc>
        <w:tc>
          <w:tcPr>
            <w:tcW w:w="135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Kuntoğlu</w:t>
            </w:r>
            <w:proofErr w:type="spellEnd"/>
          </w:p>
        </w:tc>
        <w:tc>
          <w:tcPr>
            <w:tcW w:w="3243"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Hedefsan</w:t>
            </w:r>
            <w:proofErr w:type="spellEnd"/>
            <w:r w:rsidRPr="001F71B9">
              <w:rPr>
                <w:rFonts w:eastAsia="Times New Roman"/>
                <w:sz w:val="24"/>
                <w:szCs w:val="24"/>
              </w:rPr>
              <w:t xml:space="preserve"> End. Gida Mad. Paz. </w:t>
            </w:r>
            <w:proofErr w:type="spellStart"/>
            <w:r w:rsidRPr="001F71B9">
              <w:rPr>
                <w:rFonts w:eastAsia="Times New Roman"/>
                <w:sz w:val="24"/>
                <w:szCs w:val="24"/>
              </w:rPr>
              <w:t>Nak</w:t>
            </w:r>
            <w:proofErr w:type="spellEnd"/>
            <w:r w:rsidRPr="001F71B9">
              <w:rPr>
                <w:rFonts w:eastAsia="Times New Roman"/>
                <w:sz w:val="24"/>
                <w:szCs w:val="24"/>
              </w:rPr>
              <w:t xml:space="preserve">. </w:t>
            </w:r>
            <w:proofErr w:type="spellStart"/>
            <w:r w:rsidRPr="001F71B9">
              <w:rPr>
                <w:rFonts w:eastAsia="Times New Roman"/>
                <w:sz w:val="24"/>
                <w:szCs w:val="24"/>
              </w:rPr>
              <w:t>Amb</w:t>
            </w:r>
            <w:proofErr w:type="spellEnd"/>
            <w:r w:rsidRPr="001F71B9">
              <w:rPr>
                <w:rFonts w:eastAsia="Times New Roman"/>
                <w:sz w:val="24"/>
                <w:szCs w:val="24"/>
              </w:rPr>
              <w:t xml:space="preserve">. </w:t>
            </w:r>
            <w:proofErr w:type="gramStart"/>
            <w:r w:rsidRPr="001F71B9">
              <w:rPr>
                <w:rFonts w:eastAsia="Times New Roman"/>
                <w:sz w:val="24"/>
                <w:szCs w:val="24"/>
              </w:rPr>
              <w:t>ve</w:t>
            </w:r>
            <w:proofErr w:type="gramEnd"/>
            <w:r w:rsidRPr="001F71B9">
              <w:rPr>
                <w:rFonts w:eastAsia="Times New Roman"/>
                <w:sz w:val="24"/>
                <w:szCs w:val="24"/>
              </w:rPr>
              <w:t xml:space="preserve"> </w:t>
            </w:r>
            <w:proofErr w:type="spellStart"/>
            <w:r w:rsidRPr="001F71B9">
              <w:rPr>
                <w:rFonts w:eastAsia="Times New Roman"/>
                <w:sz w:val="24"/>
                <w:szCs w:val="24"/>
              </w:rPr>
              <w:t>Baski</w:t>
            </w:r>
            <w:proofErr w:type="spellEnd"/>
            <w:r w:rsidRPr="001F71B9">
              <w:rPr>
                <w:rFonts w:eastAsia="Times New Roman"/>
                <w:sz w:val="24"/>
                <w:szCs w:val="24"/>
              </w:rPr>
              <w:t xml:space="preserve"> San. Tic. A.Ş.</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Yönetim</w:t>
            </w:r>
            <w:proofErr w:type="spellEnd"/>
            <w:r w:rsidRPr="001F71B9">
              <w:rPr>
                <w:rFonts w:eastAsia="Times New Roman"/>
                <w:sz w:val="24"/>
                <w:szCs w:val="24"/>
              </w:rPr>
              <w:t xml:space="preserve"> </w:t>
            </w:r>
            <w:proofErr w:type="spellStart"/>
            <w:r w:rsidRPr="001F71B9">
              <w:rPr>
                <w:rFonts w:eastAsia="Times New Roman"/>
                <w:sz w:val="24"/>
                <w:szCs w:val="24"/>
              </w:rPr>
              <w:t>Kurulu</w:t>
            </w:r>
            <w:proofErr w:type="spellEnd"/>
            <w:r w:rsidRPr="001F71B9">
              <w:rPr>
                <w:rFonts w:eastAsia="Times New Roman"/>
                <w:sz w:val="24"/>
                <w:szCs w:val="24"/>
              </w:rPr>
              <w:t xml:space="preserve"> </w:t>
            </w:r>
            <w:proofErr w:type="spellStart"/>
            <w:r w:rsidRPr="001F71B9">
              <w:rPr>
                <w:rFonts w:eastAsia="Times New Roman"/>
                <w:sz w:val="24"/>
                <w:szCs w:val="24"/>
              </w:rPr>
              <w:t>Başkanı</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YK </w:t>
            </w:r>
            <w:proofErr w:type="spellStart"/>
            <w:r w:rsidRPr="001F71B9">
              <w:rPr>
                <w:rFonts w:eastAsia="Times New Roman"/>
                <w:sz w:val="24"/>
                <w:szCs w:val="24"/>
              </w:rPr>
              <w:t>Üyesi</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Burak</w:t>
            </w:r>
          </w:p>
        </w:tc>
        <w:tc>
          <w:tcPr>
            <w:tcW w:w="1358"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Henden</w:t>
            </w:r>
          </w:p>
        </w:tc>
        <w:tc>
          <w:tcPr>
            <w:tcW w:w="3243"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Tekfen</w:t>
            </w:r>
            <w:proofErr w:type="spellEnd"/>
            <w:r w:rsidRPr="001F71B9">
              <w:rPr>
                <w:rFonts w:eastAsia="Times New Roman"/>
                <w:sz w:val="24"/>
                <w:szCs w:val="24"/>
              </w:rPr>
              <w:t xml:space="preserve"> İnşaat ve </w:t>
            </w:r>
            <w:proofErr w:type="spellStart"/>
            <w:r w:rsidRPr="001F71B9">
              <w:rPr>
                <w:rFonts w:eastAsia="Times New Roman"/>
                <w:sz w:val="24"/>
                <w:szCs w:val="24"/>
              </w:rPr>
              <w:t>Tesisat</w:t>
            </w:r>
            <w:proofErr w:type="spellEnd"/>
            <w:r w:rsidRPr="001F71B9">
              <w:rPr>
                <w:rFonts w:eastAsia="Times New Roman"/>
                <w:sz w:val="24"/>
                <w:szCs w:val="24"/>
              </w:rPr>
              <w:t xml:space="preserve"> A.Ş.</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w:t>
            </w:r>
            <w:proofErr w:type="spellStart"/>
            <w:r w:rsidRPr="001F71B9">
              <w:rPr>
                <w:rFonts w:eastAsia="Times New Roman"/>
                <w:sz w:val="24"/>
                <w:szCs w:val="24"/>
              </w:rPr>
              <w:t>Geliştirme</w:t>
            </w:r>
            <w:proofErr w:type="spellEnd"/>
            <w:r w:rsidRPr="001F71B9">
              <w:rPr>
                <w:rFonts w:eastAsia="Times New Roman"/>
                <w:sz w:val="24"/>
                <w:szCs w:val="24"/>
              </w:rPr>
              <w:t xml:space="preserve"> </w:t>
            </w:r>
            <w:proofErr w:type="spellStart"/>
            <w:r w:rsidRPr="001F71B9">
              <w:rPr>
                <w:rFonts w:eastAsia="Times New Roman"/>
                <w:sz w:val="24"/>
                <w:szCs w:val="24"/>
              </w:rPr>
              <w:t>Mühendisi</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YK </w:t>
            </w:r>
            <w:proofErr w:type="spellStart"/>
            <w:r w:rsidRPr="001F71B9">
              <w:rPr>
                <w:rFonts w:eastAsia="Times New Roman"/>
                <w:sz w:val="24"/>
                <w:szCs w:val="24"/>
              </w:rPr>
              <w:t>Üyesi</w:t>
            </w:r>
            <w:proofErr w:type="spellEnd"/>
          </w:p>
        </w:tc>
      </w:tr>
      <w:tr w:rsidR="00E13966" w:rsidRPr="001F71B9" w:rsidTr="00E13966">
        <w:trPr>
          <w:trHeight w:val="312"/>
        </w:trPr>
        <w:tc>
          <w:tcPr>
            <w:tcW w:w="887" w:type="dxa"/>
            <w:vAlign w:val="center"/>
            <w:hideMark/>
          </w:tcPr>
          <w:p w:rsidR="00E13966" w:rsidRPr="001F71B9" w:rsidRDefault="00E13966" w:rsidP="00BF3486">
            <w:pPr>
              <w:pStyle w:val="NoSpacing"/>
              <w:jc w:val="center"/>
              <w:rPr>
                <w:rFonts w:eastAsia="Times New Roman"/>
                <w:sz w:val="24"/>
                <w:szCs w:val="24"/>
              </w:rPr>
            </w:pPr>
            <w:r w:rsidRPr="001F71B9">
              <w:rPr>
                <w:rFonts w:eastAsia="Times New Roman"/>
                <w:sz w:val="24"/>
                <w:szCs w:val="24"/>
              </w:rPr>
              <w:t>Berna</w:t>
            </w:r>
          </w:p>
        </w:tc>
        <w:tc>
          <w:tcPr>
            <w:tcW w:w="135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Akyıldız</w:t>
            </w:r>
            <w:proofErr w:type="spellEnd"/>
          </w:p>
        </w:tc>
        <w:tc>
          <w:tcPr>
            <w:tcW w:w="3243"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Tgl</w:t>
            </w:r>
            <w:proofErr w:type="spellEnd"/>
            <w:r w:rsidRPr="001F71B9">
              <w:rPr>
                <w:rFonts w:eastAsia="Times New Roman"/>
                <w:sz w:val="24"/>
                <w:szCs w:val="24"/>
              </w:rPr>
              <w:t xml:space="preserve"> </w:t>
            </w:r>
            <w:proofErr w:type="spellStart"/>
            <w:r w:rsidRPr="001F71B9">
              <w:rPr>
                <w:rFonts w:eastAsia="Times New Roman"/>
                <w:sz w:val="24"/>
                <w:szCs w:val="24"/>
              </w:rPr>
              <w:t>Transtaş</w:t>
            </w:r>
            <w:proofErr w:type="spellEnd"/>
            <w:r w:rsidRPr="001F71B9">
              <w:rPr>
                <w:rFonts w:eastAsia="Times New Roman"/>
                <w:sz w:val="24"/>
                <w:szCs w:val="24"/>
              </w:rPr>
              <w:t xml:space="preserve"> Global </w:t>
            </w:r>
            <w:proofErr w:type="spellStart"/>
            <w:r w:rsidRPr="001F71B9">
              <w:rPr>
                <w:rFonts w:eastAsia="Times New Roman"/>
                <w:sz w:val="24"/>
                <w:szCs w:val="24"/>
              </w:rPr>
              <w:t>Lojistik</w:t>
            </w:r>
            <w:proofErr w:type="spellEnd"/>
            <w:r w:rsidRPr="001F71B9">
              <w:rPr>
                <w:rFonts w:eastAsia="Times New Roman"/>
                <w:sz w:val="24"/>
                <w:szCs w:val="24"/>
              </w:rPr>
              <w:t xml:space="preserve"> Ltd. </w:t>
            </w:r>
            <w:proofErr w:type="spellStart"/>
            <w:r w:rsidRPr="001F71B9">
              <w:rPr>
                <w:rFonts w:eastAsia="Times New Roman"/>
                <w:sz w:val="24"/>
                <w:szCs w:val="24"/>
              </w:rPr>
              <w:t>Şti</w:t>
            </w:r>
            <w:proofErr w:type="spellEnd"/>
            <w:r w:rsidRPr="001F71B9">
              <w:rPr>
                <w:rFonts w:eastAsia="Times New Roman"/>
                <w:sz w:val="24"/>
                <w:szCs w:val="24"/>
              </w:rPr>
              <w:t>.</w:t>
            </w:r>
          </w:p>
        </w:tc>
        <w:tc>
          <w:tcPr>
            <w:tcW w:w="1820"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Yönetim</w:t>
            </w:r>
            <w:proofErr w:type="spellEnd"/>
            <w:r w:rsidRPr="001F71B9">
              <w:rPr>
                <w:rFonts w:eastAsia="Times New Roman"/>
                <w:sz w:val="24"/>
                <w:szCs w:val="24"/>
              </w:rPr>
              <w:t xml:space="preserve"> </w:t>
            </w:r>
            <w:proofErr w:type="spellStart"/>
            <w:r w:rsidRPr="001F71B9">
              <w:rPr>
                <w:rFonts w:eastAsia="Times New Roman"/>
                <w:sz w:val="24"/>
                <w:szCs w:val="24"/>
              </w:rPr>
              <w:t>Kurulu</w:t>
            </w:r>
            <w:proofErr w:type="spellEnd"/>
            <w:r w:rsidRPr="001F71B9">
              <w:rPr>
                <w:rFonts w:eastAsia="Times New Roman"/>
                <w:sz w:val="24"/>
                <w:szCs w:val="24"/>
              </w:rPr>
              <w:t xml:space="preserve"> </w:t>
            </w:r>
            <w:proofErr w:type="spellStart"/>
            <w:r w:rsidRPr="001F71B9">
              <w:rPr>
                <w:rFonts w:eastAsia="Times New Roman"/>
                <w:sz w:val="24"/>
                <w:szCs w:val="24"/>
              </w:rPr>
              <w:t>Üyesi</w:t>
            </w:r>
            <w:proofErr w:type="spellEnd"/>
          </w:p>
        </w:tc>
        <w:tc>
          <w:tcPr>
            <w:tcW w:w="1948" w:type="dxa"/>
            <w:vAlign w:val="center"/>
            <w:hideMark/>
          </w:tcPr>
          <w:p w:rsidR="00E13966" w:rsidRPr="001F71B9" w:rsidRDefault="00E13966" w:rsidP="00BF3486">
            <w:pPr>
              <w:pStyle w:val="NoSpacing"/>
              <w:jc w:val="center"/>
              <w:rPr>
                <w:rFonts w:eastAsia="Times New Roman"/>
                <w:sz w:val="24"/>
                <w:szCs w:val="24"/>
              </w:rPr>
            </w:pPr>
            <w:proofErr w:type="spellStart"/>
            <w:r w:rsidRPr="001F71B9">
              <w:rPr>
                <w:rFonts w:eastAsia="Times New Roman"/>
                <w:sz w:val="24"/>
                <w:szCs w:val="24"/>
              </w:rPr>
              <w:t>İş</w:t>
            </w:r>
            <w:proofErr w:type="spellEnd"/>
            <w:r w:rsidRPr="001F71B9">
              <w:rPr>
                <w:rFonts w:eastAsia="Times New Roman"/>
                <w:sz w:val="24"/>
                <w:szCs w:val="24"/>
              </w:rPr>
              <w:t xml:space="preserve"> Konseyi YK </w:t>
            </w:r>
            <w:proofErr w:type="spellStart"/>
            <w:r w:rsidRPr="001F71B9">
              <w:rPr>
                <w:rFonts w:eastAsia="Times New Roman"/>
                <w:sz w:val="24"/>
                <w:szCs w:val="24"/>
              </w:rPr>
              <w:t>Üyesi</w:t>
            </w:r>
            <w:proofErr w:type="spellEnd"/>
          </w:p>
        </w:tc>
      </w:tr>
    </w:tbl>
    <w:p w:rsidR="00070759" w:rsidRPr="001F71B9" w:rsidRDefault="00070759" w:rsidP="00BF3486">
      <w:pPr>
        <w:spacing w:after="0" w:line="240" w:lineRule="auto"/>
        <w:jc w:val="center"/>
        <w:rPr>
          <w:sz w:val="24"/>
          <w:szCs w:val="24"/>
          <w:lang w:eastAsia="tr-TR"/>
        </w:rPr>
      </w:pPr>
    </w:p>
    <w:p w:rsidR="00E13966" w:rsidRPr="001F71B9" w:rsidRDefault="00E13966" w:rsidP="00BF3486">
      <w:pPr>
        <w:spacing w:after="0" w:line="240" w:lineRule="auto"/>
        <w:jc w:val="center"/>
        <w:rPr>
          <w:sz w:val="24"/>
          <w:szCs w:val="24"/>
          <w:lang w:eastAsia="tr-TR"/>
        </w:rPr>
      </w:pPr>
    </w:p>
    <w:p w:rsidR="00E13966" w:rsidRPr="001F71B9" w:rsidRDefault="00E13966" w:rsidP="00BF3486">
      <w:pPr>
        <w:spacing w:after="0" w:line="240" w:lineRule="auto"/>
        <w:jc w:val="center"/>
        <w:rPr>
          <w:rFonts w:cs="Times New Roman"/>
          <w:b/>
          <w:sz w:val="24"/>
          <w:szCs w:val="24"/>
        </w:rPr>
      </w:pPr>
    </w:p>
    <w:p w:rsidR="00735F26" w:rsidRPr="001F71B9" w:rsidRDefault="00735F26" w:rsidP="00BF3486">
      <w:pPr>
        <w:spacing w:after="0" w:line="240" w:lineRule="auto"/>
        <w:contextualSpacing/>
        <w:jc w:val="center"/>
        <w:rPr>
          <w:rFonts w:eastAsia="Times New Roman" w:cs="Times New Roman"/>
          <w:b/>
          <w:sz w:val="24"/>
          <w:szCs w:val="24"/>
          <w:lang w:eastAsia="tr-TR"/>
        </w:rPr>
      </w:pPr>
    </w:p>
    <w:p w:rsidR="00012208" w:rsidRPr="001F71B9" w:rsidRDefault="00012208" w:rsidP="00BF3486">
      <w:pPr>
        <w:spacing w:after="0" w:line="240" w:lineRule="auto"/>
        <w:jc w:val="center"/>
        <w:rPr>
          <w:b/>
          <w:sz w:val="24"/>
          <w:szCs w:val="24"/>
          <w:lang w:eastAsia="tr-TR"/>
        </w:rPr>
      </w:pPr>
      <w:r w:rsidRPr="001F71B9">
        <w:rPr>
          <w:b/>
          <w:sz w:val="24"/>
          <w:szCs w:val="24"/>
          <w:lang w:eastAsia="tr-TR"/>
        </w:rPr>
        <w:t>İş Konseyi Çalışan Bilgileri</w:t>
      </w:r>
    </w:p>
    <w:p w:rsidR="00012208" w:rsidRPr="001F71B9" w:rsidRDefault="00D772C3" w:rsidP="00BF3486">
      <w:pPr>
        <w:spacing w:after="0" w:line="240" w:lineRule="auto"/>
        <w:contextualSpacing/>
        <w:jc w:val="center"/>
        <w:rPr>
          <w:rFonts w:eastAsia="Times New Roman" w:cs="Times New Roman"/>
          <w:sz w:val="24"/>
          <w:szCs w:val="24"/>
          <w:lang w:eastAsia="tr-TR"/>
        </w:rPr>
      </w:pPr>
      <w:r w:rsidRPr="001F71B9">
        <w:rPr>
          <w:rFonts w:eastAsia="Times New Roman" w:cs="Times New Roman"/>
          <w:sz w:val="24"/>
          <w:szCs w:val="24"/>
          <w:lang w:eastAsia="tr-TR"/>
        </w:rPr>
        <w:t>Barış Çuvalcı</w:t>
      </w:r>
      <w:r w:rsidR="00012208" w:rsidRPr="001F71B9">
        <w:rPr>
          <w:rFonts w:eastAsia="Times New Roman" w:cs="Times New Roman"/>
          <w:sz w:val="24"/>
          <w:szCs w:val="24"/>
          <w:lang w:eastAsia="tr-TR"/>
        </w:rPr>
        <w:t xml:space="preserve">, Afrika Bölge Koordinatörü, +90 212 339 50 </w:t>
      </w:r>
      <w:r w:rsidRPr="001F71B9">
        <w:rPr>
          <w:rFonts w:eastAsia="Times New Roman" w:cs="Times New Roman"/>
          <w:sz w:val="24"/>
          <w:szCs w:val="24"/>
          <w:lang w:eastAsia="tr-TR"/>
        </w:rPr>
        <w:t>32</w:t>
      </w:r>
    </w:p>
    <w:p w:rsidR="00D772C3" w:rsidRPr="001F71B9" w:rsidRDefault="002464DA" w:rsidP="00BF3486">
      <w:pPr>
        <w:spacing w:after="0" w:line="240" w:lineRule="auto"/>
        <w:contextualSpacing/>
        <w:jc w:val="center"/>
        <w:rPr>
          <w:rFonts w:eastAsia="Times New Roman" w:cs="Times New Roman"/>
          <w:sz w:val="24"/>
          <w:szCs w:val="24"/>
          <w:lang w:eastAsia="tr-TR"/>
        </w:rPr>
      </w:pPr>
      <w:r w:rsidRPr="001F71B9">
        <w:rPr>
          <w:rFonts w:eastAsia="Times New Roman" w:cs="Times New Roman"/>
          <w:sz w:val="24"/>
          <w:szCs w:val="24"/>
          <w:lang w:eastAsia="tr-TR"/>
        </w:rPr>
        <w:t>Evren Doğan</w:t>
      </w:r>
      <w:r w:rsidR="00D772C3" w:rsidRPr="001F71B9">
        <w:rPr>
          <w:rFonts w:eastAsia="Times New Roman" w:cs="Times New Roman"/>
          <w:sz w:val="24"/>
          <w:szCs w:val="24"/>
          <w:lang w:eastAsia="tr-TR"/>
        </w:rPr>
        <w:t>, İş Konsey</w:t>
      </w:r>
      <w:r w:rsidRPr="001F71B9">
        <w:rPr>
          <w:rFonts w:eastAsia="Times New Roman" w:cs="Times New Roman"/>
          <w:sz w:val="24"/>
          <w:szCs w:val="24"/>
          <w:lang w:eastAsia="tr-TR"/>
        </w:rPr>
        <w:t>i Koordinatörü, +90 212 339 50 5</w:t>
      </w:r>
      <w:r w:rsidR="00D772C3" w:rsidRPr="001F71B9">
        <w:rPr>
          <w:rFonts w:eastAsia="Times New Roman" w:cs="Times New Roman"/>
          <w:sz w:val="24"/>
          <w:szCs w:val="24"/>
          <w:lang w:eastAsia="tr-TR"/>
        </w:rPr>
        <w:t>1</w:t>
      </w:r>
    </w:p>
    <w:p w:rsidR="00012208" w:rsidRPr="001F71B9" w:rsidRDefault="00D772C3" w:rsidP="00BF3486">
      <w:pPr>
        <w:spacing w:after="0" w:line="240" w:lineRule="auto"/>
        <w:contextualSpacing/>
        <w:jc w:val="center"/>
        <w:rPr>
          <w:rFonts w:eastAsia="Times New Roman" w:cs="Times New Roman"/>
          <w:sz w:val="24"/>
          <w:szCs w:val="24"/>
          <w:lang w:eastAsia="tr-TR"/>
        </w:rPr>
      </w:pPr>
      <w:r w:rsidRPr="001F71B9">
        <w:rPr>
          <w:rFonts w:eastAsia="Times New Roman" w:cs="Times New Roman"/>
          <w:sz w:val="24"/>
          <w:szCs w:val="24"/>
          <w:lang w:eastAsia="tr-TR"/>
        </w:rPr>
        <w:t>İrem Develioğlu</w:t>
      </w:r>
      <w:r w:rsidR="00012208" w:rsidRPr="001F71B9">
        <w:rPr>
          <w:rFonts w:eastAsia="Times New Roman" w:cs="Times New Roman"/>
          <w:sz w:val="24"/>
          <w:szCs w:val="24"/>
          <w:lang w:eastAsia="tr-TR"/>
        </w:rPr>
        <w:t>, İş Konseyi Koordinatör Yardımcısı, +90 212 339 50 70</w:t>
      </w:r>
    </w:p>
    <w:p w:rsidR="002464DA" w:rsidRPr="001F71B9" w:rsidRDefault="002464DA" w:rsidP="00BF3486">
      <w:pPr>
        <w:spacing w:after="0" w:line="240" w:lineRule="auto"/>
        <w:contextualSpacing/>
        <w:jc w:val="center"/>
        <w:rPr>
          <w:rFonts w:eastAsia="Times New Roman" w:cs="Times New Roman"/>
          <w:sz w:val="24"/>
          <w:szCs w:val="24"/>
          <w:lang w:eastAsia="tr-TR"/>
        </w:rPr>
      </w:pPr>
      <w:r w:rsidRPr="001F71B9">
        <w:rPr>
          <w:rFonts w:eastAsia="Times New Roman" w:cs="Times New Roman"/>
          <w:sz w:val="24"/>
          <w:szCs w:val="24"/>
          <w:lang w:eastAsia="tr-TR"/>
        </w:rPr>
        <w:t>Saadet Gülmez, , İş Konseyi Koordinatör Yardımcısı, +90 212 339 50 61</w:t>
      </w:r>
    </w:p>
    <w:p w:rsidR="00012208" w:rsidRPr="001F71B9" w:rsidRDefault="00012208" w:rsidP="00BF3486">
      <w:pPr>
        <w:spacing w:after="0" w:line="240" w:lineRule="auto"/>
        <w:contextualSpacing/>
        <w:jc w:val="center"/>
        <w:rPr>
          <w:rFonts w:eastAsia="Times New Roman" w:cs="Times New Roman"/>
          <w:sz w:val="24"/>
          <w:szCs w:val="24"/>
          <w:lang w:eastAsia="tr-TR"/>
        </w:rPr>
      </w:pPr>
      <w:r w:rsidRPr="001F71B9">
        <w:rPr>
          <w:rFonts w:eastAsia="Times New Roman" w:cs="Times New Roman"/>
          <w:b/>
          <w:sz w:val="24"/>
          <w:szCs w:val="24"/>
          <w:lang w:eastAsia="tr-TR"/>
        </w:rPr>
        <w:t>E-posta</w:t>
      </w:r>
      <w:r w:rsidRPr="001F71B9">
        <w:rPr>
          <w:rFonts w:eastAsia="Times New Roman" w:cs="Times New Roman"/>
          <w:sz w:val="24"/>
          <w:szCs w:val="24"/>
          <w:lang w:eastAsia="tr-TR"/>
        </w:rPr>
        <w:t>:</w:t>
      </w:r>
      <w:r w:rsidR="00013F29" w:rsidRPr="001F71B9">
        <w:rPr>
          <w:rFonts w:eastAsia="Times New Roman" w:cs="Times New Roman"/>
          <w:sz w:val="24"/>
          <w:szCs w:val="24"/>
          <w:lang w:eastAsia="tr-TR"/>
        </w:rPr>
        <w:t xml:space="preserve"> </w:t>
      </w:r>
      <w:hyperlink r:id="rId15" w:history="1">
        <w:r w:rsidR="00013F29" w:rsidRPr="001F71B9">
          <w:rPr>
            <w:rStyle w:val="Hyperlink"/>
            <w:rFonts w:eastAsia="Times New Roman" w:cs="Times New Roman"/>
            <w:sz w:val="24"/>
            <w:szCs w:val="24"/>
            <w:lang w:eastAsia="tr-TR"/>
          </w:rPr>
          <w:t>africa@deik.org.tr</w:t>
        </w:r>
      </w:hyperlink>
      <w:r w:rsidR="00013F29" w:rsidRPr="001F71B9">
        <w:rPr>
          <w:rFonts w:eastAsia="Times New Roman" w:cs="Times New Roman"/>
          <w:sz w:val="24"/>
          <w:szCs w:val="24"/>
          <w:lang w:eastAsia="tr-TR"/>
        </w:rPr>
        <w:t xml:space="preserve"> </w:t>
      </w:r>
    </w:p>
    <w:p w:rsidR="00070759" w:rsidRPr="001F71B9" w:rsidRDefault="002464DA" w:rsidP="00BF3486">
      <w:pPr>
        <w:pStyle w:val="Heading1"/>
        <w:spacing w:before="0" w:line="240" w:lineRule="auto"/>
        <w:jc w:val="center"/>
        <w:rPr>
          <w:rFonts w:asciiTheme="minorHAnsi" w:hAnsiTheme="minorHAnsi" w:cs="Times New Roman"/>
          <w:sz w:val="24"/>
          <w:szCs w:val="24"/>
        </w:rPr>
      </w:pPr>
      <w:r w:rsidRPr="001F71B9">
        <w:rPr>
          <w:rFonts w:asciiTheme="minorHAnsi" w:hAnsiTheme="minorHAnsi" w:cs="Times New Roman"/>
          <w:sz w:val="24"/>
          <w:szCs w:val="24"/>
        </w:rPr>
        <w:br w:type="page"/>
      </w:r>
      <w:bookmarkStart w:id="28" w:name="_Toc482353125"/>
      <w:r w:rsidRPr="001F71B9">
        <w:rPr>
          <w:rFonts w:asciiTheme="minorHAnsi" w:hAnsiTheme="minorHAnsi"/>
          <w:sz w:val="24"/>
          <w:szCs w:val="24"/>
        </w:rPr>
        <w:lastRenderedPageBreak/>
        <w:t>İletişim</w:t>
      </w:r>
      <w:bookmarkEnd w:id="28"/>
    </w:p>
    <w:p w:rsidR="00070759" w:rsidRPr="001F71B9" w:rsidRDefault="00070759" w:rsidP="00BF3486">
      <w:pPr>
        <w:pStyle w:val="NoSpacing"/>
        <w:jc w:val="center"/>
        <w:rPr>
          <w:sz w:val="24"/>
          <w:szCs w:val="24"/>
          <w:lang w:val="tr-TR"/>
        </w:rPr>
      </w:pPr>
    </w:p>
    <w:p w:rsidR="00E13966" w:rsidRPr="001F71B9" w:rsidRDefault="00E13966" w:rsidP="00BF3486">
      <w:pPr>
        <w:pStyle w:val="NoSpacing"/>
        <w:jc w:val="center"/>
        <w:rPr>
          <w:rFonts w:eastAsiaTheme="minorHAnsi" w:cs="Times New Roman"/>
          <w:b/>
          <w:sz w:val="24"/>
          <w:szCs w:val="24"/>
          <w:lang w:val="tr-TR" w:eastAsia="en-US"/>
        </w:rPr>
      </w:pPr>
      <w:r w:rsidRPr="001F71B9">
        <w:rPr>
          <w:rFonts w:eastAsiaTheme="minorHAnsi" w:cs="Times New Roman"/>
          <w:b/>
          <w:sz w:val="24"/>
          <w:szCs w:val="24"/>
          <w:lang w:val="tr-TR" w:eastAsia="en-US"/>
        </w:rPr>
        <w:t>T.C. Tunus Büyükelçiliği</w:t>
      </w:r>
    </w:p>
    <w:p w:rsidR="00BC542D" w:rsidRPr="001F71B9" w:rsidRDefault="00BC542D" w:rsidP="00BF3486">
      <w:pPr>
        <w:pStyle w:val="NoSpacing"/>
        <w:jc w:val="center"/>
        <w:rPr>
          <w:rFonts w:eastAsiaTheme="minorHAnsi" w:cs="Times New Roman"/>
          <w:b/>
          <w:sz w:val="24"/>
          <w:szCs w:val="24"/>
          <w:lang w:val="tr-TR" w:eastAsia="en-US"/>
        </w:rPr>
      </w:pPr>
      <w:r w:rsidRPr="001F71B9">
        <w:rPr>
          <w:rFonts w:eastAsiaTheme="minorHAnsi" w:cs="Times New Roman"/>
          <w:b/>
          <w:sz w:val="24"/>
          <w:szCs w:val="24"/>
          <w:lang w:val="tr-TR" w:eastAsia="en-US"/>
        </w:rPr>
        <w:t>Büyükelçi Ömer Faruk Doğan</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Adres:</w:t>
      </w:r>
      <w:r w:rsidRPr="001F71B9">
        <w:rPr>
          <w:sz w:val="24"/>
          <w:szCs w:val="24"/>
        </w:rPr>
        <w:t xml:space="preserve"> </w:t>
      </w:r>
      <w:r w:rsidRPr="001F71B9">
        <w:rPr>
          <w:rFonts w:cs="Times New Roman"/>
          <w:sz w:val="24"/>
          <w:szCs w:val="24"/>
        </w:rPr>
        <w:t>LOT No:4, Av. Hedi KARRAY Centre Urbain Nord B.P.134-1082 TUNIS/TUNISIE</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Tel</w:t>
      </w:r>
      <w:r w:rsidRPr="001F71B9">
        <w:rPr>
          <w:rFonts w:cs="Times New Roman"/>
          <w:sz w:val="24"/>
          <w:szCs w:val="24"/>
        </w:rPr>
        <w:t>: 00 216-70 132 300</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Faks:</w:t>
      </w:r>
      <w:r w:rsidRPr="001F71B9">
        <w:rPr>
          <w:rFonts w:cs="Times New Roman"/>
          <w:sz w:val="24"/>
          <w:szCs w:val="24"/>
        </w:rPr>
        <w:t>: 00 216-71 767 045</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E-mail</w:t>
      </w:r>
      <w:r w:rsidRPr="001F71B9">
        <w:rPr>
          <w:rFonts w:cs="Times New Roman"/>
          <w:sz w:val="24"/>
          <w:szCs w:val="24"/>
        </w:rPr>
        <w:t xml:space="preserve">: ambassade.tunis@mfa.gov.tr  </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Web</w:t>
      </w:r>
      <w:r w:rsidRPr="001F71B9">
        <w:rPr>
          <w:rFonts w:cs="Times New Roman"/>
          <w:sz w:val="24"/>
          <w:szCs w:val="24"/>
        </w:rPr>
        <w:t xml:space="preserve">: http://tunus.be.mfa.gov.tr   </w:t>
      </w:r>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b/>
          <w:sz w:val="24"/>
          <w:szCs w:val="24"/>
        </w:rPr>
      </w:pPr>
      <w:r w:rsidRPr="001F71B9">
        <w:rPr>
          <w:rFonts w:cs="Times New Roman"/>
          <w:b/>
          <w:sz w:val="24"/>
          <w:szCs w:val="24"/>
        </w:rPr>
        <w:t>T.C. Tunus Ticaret Müşavirliği</w:t>
      </w:r>
    </w:p>
    <w:p w:rsidR="00BC542D" w:rsidRPr="001F71B9" w:rsidRDefault="00BC542D" w:rsidP="00BF3486">
      <w:pPr>
        <w:spacing w:after="0" w:line="240" w:lineRule="auto"/>
        <w:contextualSpacing/>
        <w:jc w:val="center"/>
        <w:rPr>
          <w:rFonts w:cs="Times New Roman"/>
          <w:sz w:val="24"/>
          <w:szCs w:val="24"/>
        </w:rPr>
      </w:pPr>
      <w:r w:rsidRPr="001F71B9">
        <w:rPr>
          <w:rFonts w:cs="Times New Roman"/>
          <w:b/>
          <w:sz w:val="24"/>
          <w:szCs w:val="24"/>
        </w:rPr>
        <w:t>Ticaret Müşaviri H. Sibel Kaplan</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Adres:</w:t>
      </w:r>
      <w:r w:rsidRPr="001F71B9">
        <w:rPr>
          <w:sz w:val="24"/>
          <w:szCs w:val="24"/>
        </w:rPr>
        <w:t xml:space="preserve"> </w:t>
      </w:r>
      <w:r w:rsidRPr="001F71B9">
        <w:rPr>
          <w:rFonts w:cs="Times New Roman"/>
          <w:sz w:val="24"/>
          <w:szCs w:val="24"/>
        </w:rPr>
        <w:t>Lot No:4, Avenue Hédi Karray, Centre Urbain Nord, 1082 Tunis/TUNUS</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Tel</w:t>
      </w:r>
      <w:r w:rsidRPr="001F71B9">
        <w:rPr>
          <w:rFonts w:cs="Times New Roman"/>
          <w:sz w:val="24"/>
          <w:szCs w:val="24"/>
        </w:rPr>
        <w:t>: 00 216 717 53212</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Faks</w:t>
      </w:r>
      <w:r w:rsidRPr="001F71B9">
        <w:rPr>
          <w:rFonts w:cs="Times New Roman"/>
          <w:sz w:val="24"/>
          <w:szCs w:val="24"/>
        </w:rPr>
        <w:t>: 00 216 717 66988</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E-mail:</w:t>
      </w:r>
      <w:r w:rsidRPr="001F71B9">
        <w:rPr>
          <w:rFonts w:cs="Times New Roman"/>
          <w:sz w:val="24"/>
          <w:szCs w:val="24"/>
        </w:rPr>
        <w:t xml:space="preserve"> </w:t>
      </w:r>
      <w:hyperlink r:id="rId16" w:history="1">
        <w:r w:rsidRPr="001F71B9">
          <w:rPr>
            <w:rStyle w:val="Hyperlink"/>
            <w:rFonts w:cs="Times New Roman"/>
            <w:sz w:val="24"/>
            <w:szCs w:val="24"/>
          </w:rPr>
          <w:t>tunus@ekonomi.gov.tr</w:t>
        </w:r>
      </w:hyperlink>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b/>
          <w:sz w:val="24"/>
          <w:szCs w:val="24"/>
        </w:rPr>
      </w:pPr>
      <w:r w:rsidRPr="001F71B9">
        <w:rPr>
          <w:rFonts w:cs="Times New Roman"/>
          <w:b/>
          <w:sz w:val="24"/>
          <w:szCs w:val="24"/>
        </w:rPr>
        <w:t>Tunus Cumhuriyeti Büyükelçiliği</w:t>
      </w:r>
    </w:p>
    <w:p w:rsidR="00BC542D" w:rsidRPr="001F71B9" w:rsidRDefault="00BC542D" w:rsidP="00BF3486">
      <w:pPr>
        <w:spacing w:after="0" w:line="240" w:lineRule="auto"/>
        <w:contextualSpacing/>
        <w:jc w:val="center"/>
        <w:rPr>
          <w:rFonts w:cs="Times New Roman"/>
          <w:b/>
          <w:sz w:val="24"/>
          <w:szCs w:val="24"/>
        </w:rPr>
      </w:pPr>
      <w:r w:rsidRPr="001F71B9">
        <w:rPr>
          <w:rFonts w:cs="Times New Roman"/>
          <w:b/>
          <w:sz w:val="24"/>
          <w:szCs w:val="24"/>
        </w:rPr>
        <w:t xml:space="preserve">Büyükelçi </w:t>
      </w:r>
      <w:r w:rsidRPr="001F71B9">
        <w:rPr>
          <w:rFonts w:cs="Helvetica"/>
          <w:b/>
          <w:color w:val="262B2C"/>
          <w:sz w:val="24"/>
          <w:szCs w:val="24"/>
          <w:shd w:val="clear" w:color="auto" w:fill="FFFFFF"/>
        </w:rPr>
        <w:t>Mohamed Salah Tekaya</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Adres:</w:t>
      </w:r>
      <w:r w:rsidRPr="001F71B9">
        <w:rPr>
          <w:sz w:val="24"/>
          <w:szCs w:val="24"/>
        </w:rPr>
        <w:t xml:space="preserve"> </w:t>
      </w:r>
      <w:r w:rsidRPr="001F71B9">
        <w:rPr>
          <w:rFonts w:cs="Times New Roman"/>
          <w:sz w:val="24"/>
          <w:szCs w:val="24"/>
        </w:rPr>
        <w:t>Ferit Recai Ertuğrul Cd. No: 19 Diplomatik Site, Oran/ANKARA</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Tel</w:t>
      </w:r>
      <w:r w:rsidRPr="001F71B9">
        <w:rPr>
          <w:rFonts w:cs="Times New Roman"/>
          <w:sz w:val="24"/>
          <w:szCs w:val="24"/>
        </w:rPr>
        <w:t>: 0090 312 491 96 35-36 / 0090 312 491 96 58</w:t>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Faks:</w:t>
      </w:r>
      <w:r w:rsidRPr="001F71B9">
        <w:rPr>
          <w:rFonts w:cs="Times New Roman"/>
          <w:sz w:val="24"/>
          <w:szCs w:val="24"/>
        </w:rPr>
        <w:t>: 0090 312 491 96 34</w:t>
      </w:r>
      <w:r w:rsidRPr="001F71B9">
        <w:rPr>
          <w:rFonts w:cs="Times New Roman"/>
          <w:sz w:val="24"/>
          <w:szCs w:val="24"/>
        </w:rPr>
        <w:tab/>
      </w:r>
    </w:p>
    <w:p w:rsidR="00E13966" w:rsidRPr="001F71B9" w:rsidRDefault="00E13966" w:rsidP="00BF3486">
      <w:pPr>
        <w:spacing w:after="0" w:line="240" w:lineRule="auto"/>
        <w:contextualSpacing/>
        <w:jc w:val="center"/>
        <w:rPr>
          <w:rFonts w:cs="Times New Roman"/>
          <w:sz w:val="24"/>
          <w:szCs w:val="24"/>
        </w:rPr>
      </w:pPr>
      <w:r w:rsidRPr="001F71B9">
        <w:rPr>
          <w:rFonts w:cs="Times New Roman"/>
          <w:b/>
          <w:sz w:val="24"/>
          <w:szCs w:val="24"/>
        </w:rPr>
        <w:t>E-mail</w:t>
      </w:r>
      <w:r w:rsidRPr="001F71B9">
        <w:rPr>
          <w:rFonts w:cs="Times New Roman"/>
          <w:sz w:val="24"/>
          <w:szCs w:val="24"/>
        </w:rPr>
        <w:t xml:space="preserve">: </w:t>
      </w:r>
      <w:hyperlink r:id="rId17" w:history="1">
        <w:r w:rsidRPr="001F71B9">
          <w:rPr>
            <w:rStyle w:val="Hyperlink"/>
            <w:rFonts w:cs="Times New Roman"/>
            <w:sz w:val="24"/>
            <w:szCs w:val="24"/>
          </w:rPr>
          <w:t>at.ankara@superonline.com</w:t>
        </w:r>
      </w:hyperlink>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sz w:val="24"/>
          <w:szCs w:val="24"/>
        </w:rPr>
      </w:pPr>
      <w:r w:rsidRPr="001F71B9">
        <w:rPr>
          <w:rFonts w:cs="Times New Roman"/>
          <w:sz w:val="24"/>
          <w:szCs w:val="24"/>
        </w:rPr>
        <w:t xml:space="preserve">Tunus Milli İstatistik Enstitüsü   </w:t>
      </w:r>
    </w:p>
    <w:p w:rsidR="00E13966" w:rsidRPr="001F71B9" w:rsidRDefault="00543AE5" w:rsidP="00BF3486">
      <w:pPr>
        <w:spacing w:after="0" w:line="240" w:lineRule="auto"/>
        <w:contextualSpacing/>
        <w:jc w:val="center"/>
        <w:rPr>
          <w:rFonts w:cs="Times New Roman"/>
          <w:sz w:val="24"/>
          <w:szCs w:val="24"/>
        </w:rPr>
      </w:pPr>
      <w:hyperlink r:id="rId18" w:history="1">
        <w:r w:rsidR="00E13966" w:rsidRPr="001F71B9">
          <w:rPr>
            <w:rStyle w:val="Hyperlink"/>
            <w:rFonts w:cs="Times New Roman"/>
            <w:sz w:val="24"/>
            <w:szCs w:val="24"/>
          </w:rPr>
          <w:t>www.ins.nat.tn</w:t>
        </w:r>
      </w:hyperlink>
      <w:r w:rsidR="00E13966" w:rsidRPr="001F71B9">
        <w:rPr>
          <w:rFonts w:cs="Times New Roman"/>
          <w:sz w:val="24"/>
          <w:szCs w:val="24"/>
        </w:rPr>
        <w:t xml:space="preserve"> </w:t>
      </w:r>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sz w:val="24"/>
          <w:szCs w:val="24"/>
        </w:rPr>
      </w:pPr>
      <w:r w:rsidRPr="001F71B9">
        <w:rPr>
          <w:rFonts w:cs="Times New Roman"/>
          <w:sz w:val="24"/>
          <w:szCs w:val="24"/>
        </w:rPr>
        <w:t xml:space="preserve">Tunus Yatırım Destek Ajansı  </w:t>
      </w:r>
    </w:p>
    <w:p w:rsidR="00E13966" w:rsidRPr="001F71B9" w:rsidRDefault="00543AE5" w:rsidP="00BF3486">
      <w:pPr>
        <w:spacing w:after="0" w:line="240" w:lineRule="auto"/>
        <w:contextualSpacing/>
        <w:jc w:val="center"/>
        <w:rPr>
          <w:rFonts w:cs="Times New Roman"/>
          <w:sz w:val="24"/>
          <w:szCs w:val="24"/>
        </w:rPr>
      </w:pPr>
      <w:hyperlink r:id="rId19" w:history="1">
        <w:r w:rsidR="00E13966" w:rsidRPr="001F71B9">
          <w:rPr>
            <w:rStyle w:val="Hyperlink"/>
            <w:rFonts w:cs="Times New Roman"/>
            <w:sz w:val="24"/>
            <w:szCs w:val="24"/>
          </w:rPr>
          <w:t>www.investintunisia.tn</w:t>
        </w:r>
      </w:hyperlink>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sz w:val="24"/>
          <w:szCs w:val="24"/>
        </w:rPr>
      </w:pPr>
      <w:r w:rsidRPr="001F71B9">
        <w:rPr>
          <w:rFonts w:cs="Times New Roman"/>
          <w:sz w:val="24"/>
          <w:szCs w:val="24"/>
        </w:rPr>
        <w:t xml:space="preserve">Tunus Sanayi, Ticaret ve El Sanatları Birliği (UTICA) </w:t>
      </w:r>
    </w:p>
    <w:p w:rsidR="00E13966" w:rsidRPr="001F71B9" w:rsidRDefault="00E13966" w:rsidP="00BF3486">
      <w:pPr>
        <w:spacing w:after="0" w:line="240" w:lineRule="auto"/>
        <w:contextualSpacing/>
        <w:jc w:val="center"/>
        <w:rPr>
          <w:rFonts w:cs="Times New Roman"/>
          <w:sz w:val="24"/>
          <w:szCs w:val="24"/>
        </w:rPr>
      </w:pPr>
      <w:r w:rsidRPr="001F71B9">
        <w:rPr>
          <w:rFonts w:cs="Times New Roman"/>
          <w:sz w:val="24"/>
          <w:szCs w:val="24"/>
        </w:rPr>
        <w:t xml:space="preserve"> </w:t>
      </w:r>
      <w:hyperlink r:id="rId20" w:history="1">
        <w:r w:rsidRPr="001F71B9">
          <w:rPr>
            <w:rStyle w:val="Hyperlink"/>
            <w:rFonts w:cs="Times New Roman"/>
            <w:sz w:val="24"/>
            <w:szCs w:val="24"/>
          </w:rPr>
          <w:t>www.utica.org.tn</w:t>
        </w:r>
      </w:hyperlink>
    </w:p>
    <w:p w:rsidR="00E13966" w:rsidRPr="001F71B9" w:rsidRDefault="00E13966" w:rsidP="00BF3486">
      <w:pPr>
        <w:spacing w:after="0" w:line="240" w:lineRule="auto"/>
        <w:contextualSpacing/>
        <w:jc w:val="center"/>
        <w:rPr>
          <w:rFonts w:cs="Times New Roman"/>
          <w:sz w:val="24"/>
          <w:szCs w:val="24"/>
        </w:rPr>
      </w:pPr>
    </w:p>
    <w:p w:rsidR="00E13966" w:rsidRPr="001F71B9" w:rsidRDefault="00E13966" w:rsidP="00BF3486">
      <w:pPr>
        <w:spacing w:after="0" w:line="240" w:lineRule="auto"/>
        <w:contextualSpacing/>
        <w:jc w:val="center"/>
        <w:rPr>
          <w:rFonts w:cs="Times New Roman"/>
          <w:sz w:val="24"/>
          <w:szCs w:val="24"/>
        </w:rPr>
      </w:pPr>
      <w:r w:rsidRPr="001F71B9">
        <w:rPr>
          <w:rFonts w:cs="Times New Roman"/>
          <w:sz w:val="24"/>
          <w:szCs w:val="24"/>
        </w:rPr>
        <w:t xml:space="preserve">T.C. Tunus Ticaret Müşavirliği  </w:t>
      </w:r>
    </w:p>
    <w:p w:rsidR="00070759" w:rsidRPr="001F71B9" w:rsidRDefault="00543AE5" w:rsidP="00BF3486">
      <w:pPr>
        <w:spacing w:after="0" w:line="240" w:lineRule="auto"/>
        <w:contextualSpacing/>
        <w:jc w:val="center"/>
        <w:rPr>
          <w:rFonts w:cs="Times New Roman"/>
          <w:sz w:val="24"/>
          <w:szCs w:val="24"/>
        </w:rPr>
      </w:pPr>
      <w:hyperlink r:id="rId21" w:history="1">
        <w:r w:rsidR="00E13966" w:rsidRPr="001F71B9">
          <w:rPr>
            <w:rStyle w:val="Hyperlink"/>
            <w:rFonts w:cs="Times New Roman"/>
            <w:sz w:val="24"/>
            <w:szCs w:val="24"/>
          </w:rPr>
          <w:t>www.musavirlikler.gov.tr</w:t>
        </w:r>
      </w:hyperlink>
    </w:p>
    <w:p w:rsidR="00E13966" w:rsidRPr="00E13966" w:rsidRDefault="00E13966" w:rsidP="00BF3486">
      <w:pPr>
        <w:spacing w:after="0" w:line="240" w:lineRule="auto"/>
        <w:contextualSpacing/>
        <w:jc w:val="center"/>
        <w:rPr>
          <w:rFonts w:cs="Times New Roman"/>
        </w:rPr>
      </w:pPr>
    </w:p>
    <w:sectPr w:rsidR="00E13966" w:rsidRPr="00E13966" w:rsidSect="00DB145B">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E5" w:rsidRDefault="00543AE5" w:rsidP="00D772C3">
      <w:pPr>
        <w:spacing w:after="0" w:line="240" w:lineRule="auto"/>
      </w:pPr>
      <w:r>
        <w:separator/>
      </w:r>
    </w:p>
  </w:endnote>
  <w:endnote w:type="continuationSeparator" w:id="0">
    <w:p w:rsidR="00543AE5" w:rsidRDefault="00543AE5" w:rsidP="00D7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063702"/>
      <w:docPartObj>
        <w:docPartGallery w:val="Page Numbers (Bottom of Page)"/>
        <w:docPartUnique/>
      </w:docPartObj>
    </w:sdtPr>
    <w:sdtEndPr>
      <w:rPr>
        <w:noProof/>
      </w:rPr>
    </w:sdtEndPr>
    <w:sdtContent>
      <w:p w:rsidR="00E13966" w:rsidRDefault="00E13966">
        <w:pPr>
          <w:pStyle w:val="Footer"/>
          <w:jc w:val="right"/>
        </w:pPr>
        <w:r>
          <w:fldChar w:fldCharType="begin"/>
        </w:r>
        <w:r>
          <w:instrText xml:space="preserve"> PAGE   \* MERGEFORMAT </w:instrText>
        </w:r>
        <w:r>
          <w:fldChar w:fldCharType="separate"/>
        </w:r>
        <w:r w:rsidR="00BF3486">
          <w:rPr>
            <w:noProof/>
          </w:rPr>
          <w:t>19</w:t>
        </w:r>
        <w:r>
          <w:rPr>
            <w:noProof/>
          </w:rPr>
          <w:fldChar w:fldCharType="end"/>
        </w:r>
      </w:p>
    </w:sdtContent>
  </w:sdt>
  <w:p w:rsidR="00E13966" w:rsidRDefault="00E13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E5" w:rsidRDefault="00543AE5" w:rsidP="00D772C3">
      <w:pPr>
        <w:spacing w:after="0" w:line="240" w:lineRule="auto"/>
      </w:pPr>
      <w:r>
        <w:separator/>
      </w:r>
    </w:p>
  </w:footnote>
  <w:footnote w:type="continuationSeparator" w:id="0">
    <w:p w:rsidR="00543AE5" w:rsidRDefault="00543AE5" w:rsidP="00D77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297"/>
    <w:multiLevelType w:val="hybridMultilevel"/>
    <w:tmpl w:val="BD26CD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60F6016"/>
    <w:multiLevelType w:val="hybridMultilevel"/>
    <w:tmpl w:val="8684D592"/>
    <w:lvl w:ilvl="0" w:tplc="041F0001">
      <w:start w:val="1"/>
      <w:numFmt w:val="bullet"/>
      <w:lvlText w:val=""/>
      <w:lvlJc w:val="left"/>
      <w:pPr>
        <w:ind w:left="1440" w:hanging="360"/>
      </w:pPr>
      <w:rPr>
        <w:rFonts w:ascii="Symbol" w:hAnsi="Symbol" w:hint="default"/>
      </w:rPr>
    </w:lvl>
    <w:lvl w:ilvl="1" w:tplc="C68A21A4">
      <w:numFmt w:val="bullet"/>
      <w:lvlText w:val="-"/>
      <w:lvlJc w:val="left"/>
      <w:pPr>
        <w:ind w:left="2160" w:hanging="360"/>
      </w:pPr>
      <w:rPr>
        <w:rFonts w:ascii="Calibri" w:eastAsia="Calibri" w:hAnsi="Calibri" w:cs="Times New Roman" w:hint="default"/>
        <w:b w:val="0"/>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1160644"/>
    <w:multiLevelType w:val="hybridMultilevel"/>
    <w:tmpl w:val="369A375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9223FDB"/>
    <w:multiLevelType w:val="hybridMultilevel"/>
    <w:tmpl w:val="A70E5B40"/>
    <w:lvl w:ilvl="0" w:tplc="08888232">
      <w:start w:val="1"/>
      <w:numFmt w:val="decimal"/>
      <w:lvlText w:val="%1."/>
      <w:lvlJc w:val="left"/>
      <w:pPr>
        <w:tabs>
          <w:tab w:val="num" w:pos="720"/>
        </w:tabs>
        <w:ind w:left="720" w:hanging="360"/>
      </w:pPr>
      <w:rPr>
        <w:b/>
      </w:rPr>
    </w:lvl>
    <w:lvl w:ilvl="1" w:tplc="041F000F">
      <w:start w:val="1"/>
      <w:numFmt w:val="decimal"/>
      <w:lvlText w:val="%2."/>
      <w:lvlJc w:val="left"/>
      <w:pPr>
        <w:tabs>
          <w:tab w:val="num" w:pos="1440"/>
        </w:tabs>
        <w:ind w:left="1440" w:hanging="360"/>
      </w:pPr>
      <w:rPr>
        <w:b/>
      </w:rPr>
    </w:lvl>
    <w:lvl w:ilvl="2" w:tplc="041F0001">
      <w:start w:val="1"/>
      <w:numFmt w:val="bullet"/>
      <w:lvlText w:val=""/>
      <w:lvlJc w:val="left"/>
      <w:pPr>
        <w:tabs>
          <w:tab w:val="num" w:pos="2340"/>
        </w:tabs>
        <w:ind w:left="2340" w:hanging="360"/>
      </w:pPr>
      <w:rPr>
        <w:rFonts w:ascii="Symbol" w:hAnsi="Symbol"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E3E228E"/>
    <w:multiLevelType w:val="hybridMultilevel"/>
    <w:tmpl w:val="9CA639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02F7D52"/>
    <w:multiLevelType w:val="hybridMultilevel"/>
    <w:tmpl w:val="05A015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585E5116"/>
    <w:multiLevelType w:val="hybridMultilevel"/>
    <w:tmpl w:val="74C630DC"/>
    <w:lvl w:ilvl="0" w:tplc="08888232">
      <w:start w:val="1"/>
      <w:numFmt w:val="decimal"/>
      <w:lvlText w:val="%1."/>
      <w:lvlJc w:val="left"/>
      <w:pPr>
        <w:tabs>
          <w:tab w:val="num" w:pos="720"/>
        </w:tabs>
        <w:ind w:left="720" w:hanging="360"/>
      </w:pPr>
      <w:rPr>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E5A6986"/>
    <w:multiLevelType w:val="hybridMultilevel"/>
    <w:tmpl w:val="EF3C88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689A2134"/>
    <w:multiLevelType w:val="hybridMultilevel"/>
    <w:tmpl w:val="C36CB37E"/>
    <w:lvl w:ilvl="0" w:tplc="041F0019">
      <w:start w:val="1"/>
      <w:numFmt w:val="lowerLetter"/>
      <w:lvlText w:val="%1."/>
      <w:lvlJc w:val="left"/>
      <w:pPr>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F">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7"/>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C4"/>
    <w:rsid w:val="00012208"/>
    <w:rsid w:val="00013F29"/>
    <w:rsid w:val="0001467B"/>
    <w:rsid w:val="000218AB"/>
    <w:rsid w:val="00070759"/>
    <w:rsid w:val="000C133A"/>
    <w:rsid w:val="000C4816"/>
    <w:rsid w:val="00166EAD"/>
    <w:rsid w:val="001A041E"/>
    <w:rsid w:val="001A36A8"/>
    <w:rsid w:val="001F71B9"/>
    <w:rsid w:val="002464DA"/>
    <w:rsid w:val="00251235"/>
    <w:rsid w:val="003152ED"/>
    <w:rsid w:val="00323127"/>
    <w:rsid w:val="00335974"/>
    <w:rsid w:val="00337577"/>
    <w:rsid w:val="00337580"/>
    <w:rsid w:val="00347BE7"/>
    <w:rsid w:val="00356A9F"/>
    <w:rsid w:val="00365C4D"/>
    <w:rsid w:val="003778A6"/>
    <w:rsid w:val="00390E33"/>
    <w:rsid w:val="003D3C3A"/>
    <w:rsid w:val="003F2B53"/>
    <w:rsid w:val="00412195"/>
    <w:rsid w:val="00413092"/>
    <w:rsid w:val="00442553"/>
    <w:rsid w:val="00472C55"/>
    <w:rsid w:val="00490DB9"/>
    <w:rsid w:val="004E7C09"/>
    <w:rsid w:val="00543AE5"/>
    <w:rsid w:val="00581076"/>
    <w:rsid w:val="005862B2"/>
    <w:rsid w:val="005F48DE"/>
    <w:rsid w:val="006107A8"/>
    <w:rsid w:val="006118F3"/>
    <w:rsid w:val="00631DE6"/>
    <w:rsid w:val="00672581"/>
    <w:rsid w:val="006A20FD"/>
    <w:rsid w:val="006A4F24"/>
    <w:rsid w:val="006B3635"/>
    <w:rsid w:val="006D080B"/>
    <w:rsid w:val="00724482"/>
    <w:rsid w:val="00735F26"/>
    <w:rsid w:val="00782C01"/>
    <w:rsid w:val="00797434"/>
    <w:rsid w:val="007A742C"/>
    <w:rsid w:val="00837CE6"/>
    <w:rsid w:val="008E748D"/>
    <w:rsid w:val="00901BFC"/>
    <w:rsid w:val="00927395"/>
    <w:rsid w:val="00937A2B"/>
    <w:rsid w:val="00976F30"/>
    <w:rsid w:val="0099341B"/>
    <w:rsid w:val="009A4D92"/>
    <w:rsid w:val="009E26A9"/>
    <w:rsid w:val="00A121BB"/>
    <w:rsid w:val="00A17E9E"/>
    <w:rsid w:val="00A42097"/>
    <w:rsid w:val="00A9643C"/>
    <w:rsid w:val="00AC6058"/>
    <w:rsid w:val="00AD024C"/>
    <w:rsid w:val="00B1006E"/>
    <w:rsid w:val="00B31054"/>
    <w:rsid w:val="00BB6723"/>
    <w:rsid w:val="00BC542D"/>
    <w:rsid w:val="00BE1168"/>
    <w:rsid w:val="00BE37C9"/>
    <w:rsid w:val="00BF3486"/>
    <w:rsid w:val="00C15286"/>
    <w:rsid w:val="00C21A47"/>
    <w:rsid w:val="00C2700F"/>
    <w:rsid w:val="00C7417C"/>
    <w:rsid w:val="00C85E2A"/>
    <w:rsid w:val="00CA4A34"/>
    <w:rsid w:val="00CF29DB"/>
    <w:rsid w:val="00D00EE9"/>
    <w:rsid w:val="00D60A07"/>
    <w:rsid w:val="00D66755"/>
    <w:rsid w:val="00D72E10"/>
    <w:rsid w:val="00D76F28"/>
    <w:rsid w:val="00D772C3"/>
    <w:rsid w:val="00D924A5"/>
    <w:rsid w:val="00DB145B"/>
    <w:rsid w:val="00DC1487"/>
    <w:rsid w:val="00E13966"/>
    <w:rsid w:val="00E57257"/>
    <w:rsid w:val="00E6388C"/>
    <w:rsid w:val="00EE3F71"/>
    <w:rsid w:val="00EF00B2"/>
    <w:rsid w:val="00F04001"/>
    <w:rsid w:val="00F04B31"/>
    <w:rsid w:val="00F13F83"/>
    <w:rsid w:val="00F411EF"/>
    <w:rsid w:val="00F7260D"/>
    <w:rsid w:val="00FE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A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31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D924A5"/>
    <w:pPr>
      <w:keepNext/>
      <w:spacing w:after="0" w:line="240" w:lineRule="auto"/>
      <w:jc w:val="center"/>
      <w:outlineLvl w:val="7"/>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C605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AC605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3F2B53"/>
    <w:pPr>
      <w:spacing w:after="120" w:line="480" w:lineRule="auto"/>
    </w:pPr>
  </w:style>
  <w:style w:type="character" w:customStyle="1" w:styleId="BodyText2Char">
    <w:name w:val="Body Text 2 Char"/>
    <w:basedOn w:val="DefaultParagraphFont"/>
    <w:link w:val="BodyText2"/>
    <w:uiPriority w:val="99"/>
    <w:semiHidden/>
    <w:rsid w:val="003F2B53"/>
  </w:style>
  <w:style w:type="paragraph" w:styleId="ListParagraph">
    <w:name w:val="List Paragraph"/>
    <w:basedOn w:val="Normal"/>
    <w:uiPriority w:val="34"/>
    <w:qFormat/>
    <w:rsid w:val="00EE3F71"/>
    <w:pPr>
      <w:ind w:left="720"/>
      <w:contextualSpacing/>
    </w:pPr>
    <w:rPr>
      <w:rFonts w:ascii="Calibri" w:eastAsia="Calibri" w:hAnsi="Calibri" w:cs="Times New Roman"/>
    </w:rPr>
  </w:style>
  <w:style w:type="paragraph" w:customStyle="1" w:styleId="Normal0">
    <w:name w:val="[Normal]"/>
    <w:rsid w:val="00EE3F71"/>
    <w:pPr>
      <w:autoSpaceDE w:val="0"/>
      <w:autoSpaceDN w:val="0"/>
      <w:adjustRightInd w:val="0"/>
      <w:spacing w:after="0" w:line="240" w:lineRule="auto"/>
    </w:pPr>
    <w:rPr>
      <w:rFonts w:ascii="Arial" w:eastAsia="Times New Roman" w:hAnsi="Arial" w:cs="Arial"/>
      <w:sz w:val="24"/>
      <w:szCs w:val="24"/>
      <w:lang w:eastAsia="tr-TR"/>
    </w:rPr>
  </w:style>
  <w:style w:type="character" w:customStyle="1" w:styleId="Heading8Char">
    <w:name w:val="Heading 8 Char"/>
    <w:basedOn w:val="DefaultParagraphFont"/>
    <w:link w:val="Heading8"/>
    <w:uiPriority w:val="99"/>
    <w:rsid w:val="00D924A5"/>
    <w:rPr>
      <w:rFonts w:ascii="Times New Roman" w:eastAsia="Times New Roman" w:hAnsi="Times New Roman" w:cs="Times New Roman"/>
      <w:b/>
      <w:i/>
      <w:sz w:val="24"/>
      <w:szCs w:val="20"/>
    </w:rPr>
  </w:style>
  <w:style w:type="paragraph" w:styleId="NormalWeb">
    <w:name w:val="Normal (Web)"/>
    <w:basedOn w:val="Normal"/>
    <w:uiPriority w:val="99"/>
    <w:unhideWhenUsed/>
    <w:rsid w:val="00A420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937A2B"/>
    <w:rPr>
      <w:color w:val="0000FF" w:themeColor="hyperlink"/>
      <w:u w:val="single"/>
    </w:rPr>
  </w:style>
  <w:style w:type="paragraph" w:styleId="Header">
    <w:name w:val="header"/>
    <w:basedOn w:val="Normal"/>
    <w:link w:val="HeaderChar"/>
    <w:uiPriority w:val="99"/>
    <w:unhideWhenUsed/>
    <w:rsid w:val="00D77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2C3"/>
  </w:style>
  <w:style w:type="paragraph" w:styleId="Footer">
    <w:name w:val="footer"/>
    <w:basedOn w:val="Normal"/>
    <w:link w:val="FooterChar"/>
    <w:uiPriority w:val="99"/>
    <w:unhideWhenUsed/>
    <w:rsid w:val="00D77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2C3"/>
  </w:style>
  <w:style w:type="table" w:styleId="TableGrid">
    <w:name w:val="Table Grid"/>
    <w:basedOn w:val="TableNormal"/>
    <w:uiPriority w:val="59"/>
    <w:rsid w:val="00D7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14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B145B"/>
    <w:rPr>
      <w:rFonts w:eastAsiaTheme="minorEastAsia"/>
      <w:lang w:val="en-US" w:eastAsia="ja-JP"/>
    </w:rPr>
  </w:style>
  <w:style w:type="paragraph" w:styleId="BalloonText">
    <w:name w:val="Balloon Text"/>
    <w:basedOn w:val="Normal"/>
    <w:link w:val="BalloonTextChar"/>
    <w:uiPriority w:val="99"/>
    <w:semiHidden/>
    <w:unhideWhenUsed/>
    <w:rsid w:val="00DB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5B"/>
    <w:rPr>
      <w:rFonts w:ascii="Tahoma" w:hAnsi="Tahoma" w:cs="Tahoma"/>
      <w:sz w:val="16"/>
      <w:szCs w:val="16"/>
    </w:rPr>
  </w:style>
  <w:style w:type="character" w:customStyle="1" w:styleId="Heading1Char">
    <w:name w:val="Heading 1 Char"/>
    <w:basedOn w:val="DefaultParagraphFont"/>
    <w:link w:val="Heading1"/>
    <w:uiPriority w:val="9"/>
    <w:rsid w:val="00DB1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F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76F30"/>
    <w:pPr>
      <w:outlineLvl w:val="9"/>
    </w:pPr>
    <w:rPr>
      <w:lang w:val="en-US" w:eastAsia="ja-JP"/>
    </w:rPr>
  </w:style>
  <w:style w:type="paragraph" w:styleId="TOC1">
    <w:name w:val="toc 1"/>
    <w:basedOn w:val="Normal"/>
    <w:next w:val="Normal"/>
    <w:autoRedefine/>
    <w:uiPriority w:val="39"/>
    <w:unhideWhenUsed/>
    <w:rsid w:val="00976F30"/>
    <w:pPr>
      <w:spacing w:after="100"/>
    </w:pPr>
  </w:style>
  <w:style w:type="paragraph" w:styleId="TOC2">
    <w:name w:val="toc 2"/>
    <w:basedOn w:val="Normal"/>
    <w:next w:val="Normal"/>
    <w:autoRedefine/>
    <w:uiPriority w:val="39"/>
    <w:unhideWhenUsed/>
    <w:rsid w:val="00976F30"/>
    <w:pPr>
      <w:spacing w:after="100"/>
      <w:ind w:left="220"/>
    </w:pPr>
  </w:style>
  <w:style w:type="paragraph" w:styleId="Title">
    <w:name w:val="Title"/>
    <w:basedOn w:val="Normal"/>
    <w:next w:val="Normal"/>
    <w:link w:val="TitleChar"/>
    <w:uiPriority w:val="10"/>
    <w:qFormat/>
    <w:rsid w:val="00976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F3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21A4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04001"/>
    <w:pPr>
      <w:spacing w:after="100"/>
      <w:ind w:left="440"/>
    </w:pPr>
  </w:style>
  <w:style w:type="paragraph" w:styleId="Quote">
    <w:name w:val="Quote"/>
    <w:basedOn w:val="Normal"/>
    <w:next w:val="Normal"/>
    <w:link w:val="QuoteChar"/>
    <w:uiPriority w:val="29"/>
    <w:qFormat/>
    <w:rsid w:val="00166EAD"/>
    <w:rPr>
      <w:i/>
      <w:iCs/>
      <w:color w:val="000000" w:themeColor="text1"/>
    </w:rPr>
  </w:style>
  <w:style w:type="character" w:customStyle="1" w:styleId="QuoteChar">
    <w:name w:val="Quote Char"/>
    <w:basedOn w:val="DefaultParagraphFont"/>
    <w:link w:val="Quote"/>
    <w:uiPriority w:val="29"/>
    <w:rsid w:val="00166EAD"/>
    <w:rPr>
      <w:i/>
      <w:iCs/>
      <w:color w:val="000000" w:themeColor="text1"/>
    </w:rPr>
  </w:style>
  <w:style w:type="table" w:styleId="LightShading-Accent1">
    <w:name w:val="Light Shading Accent 1"/>
    <w:basedOn w:val="TableNormal"/>
    <w:uiPriority w:val="60"/>
    <w:rsid w:val="007974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uiPriority w:val="22"/>
    <w:qFormat/>
    <w:rsid w:val="00323127"/>
    <w:rPr>
      <w:b/>
      <w:bCs/>
    </w:rPr>
  </w:style>
  <w:style w:type="character" w:customStyle="1" w:styleId="Heading4Char">
    <w:name w:val="Heading 4 Char"/>
    <w:basedOn w:val="DefaultParagraphFont"/>
    <w:link w:val="Heading4"/>
    <w:uiPriority w:val="9"/>
    <w:rsid w:val="00323127"/>
    <w:rPr>
      <w:rFonts w:asciiTheme="majorHAnsi" w:eastAsiaTheme="majorEastAsia" w:hAnsiTheme="majorHAnsi" w:cstheme="majorBidi"/>
      <w:b/>
      <w:bCs/>
      <w:i/>
      <w:iCs/>
      <w:color w:val="4F81BD" w:themeColor="accent1"/>
    </w:rPr>
  </w:style>
  <w:style w:type="table" w:styleId="LightShading">
    <w:name w:val="Light Shading"/>
    <w:basedOn w:val="TableNormal"/>
    <w:uiPriority w:val="60"/>
    <w:rsid w:val="00C152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tegorydata3">
    <w:name w:val="category_data3"/>
    <w:rsid w:val="00BE1168"/>
    <w:rPr>
      <w:rFonts w:ascii="Arial" w:hAnsi="Arial" w:cs="Arial" w:hint="default"/>
      <w:spacing w:val="14"/>
      <w:sz w:val="16"/>
      <w:szCs w:val="16"/>
    </w:rPr>
  </w:style>
  <w:style w:type="table" w:styleId="LightShading-Accent5">
    <w:name w:val="Light Shading Accent 5"/>
    <w:basedOn w:val="TableNormal"/>
    <w:uiPriority w:val="60"/>
    <w:rsid w:val="00BE11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A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31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D924A5"/>
    <w:pPr>
      <w:keepNext/>
      <w:spacing w:after="0" w:line="240" w:lineRule="auto"/>
      <w:jc w:val="center"/>
      <w:outlineLvl w:val="7"/>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C605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AC605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3F2B53"/>
    <w:pPr>
      <w:spacing w:after="120" w:line="480" w:lineRule="auto"/>
    </w:pPr>
  </w:style>
  <w:style w:type="character" w:customStyle="1" w:styleId="BodyText2Char">
    <w:name w:val="Body Text 2 Char"/>
    <w:basedOn w:val="DefaultParagraphFont"/>
    <w:link w:val="BodyText2"/>
    <w:uiPriority w:val="99"/>
    <w:semiHidden/>
    <w:rsid w:val="003F2B53"/>
  </w:style>
  <w:style w:type="paragraph" w:styleId="ListParagraph">
    <w:name w:val="List Paragraph"/>
    <w:basedOn w:val="Normal"/>
    <w:uiPriority w:val="34"/>
    <w:qFormat/>
    <w:rsid w:val="00EE3F71"/>
    <w:pPr>
      <w:ind w:left="720"/>
      <w:contextualSpacing/>
    </w:pPr>
    <w:rPr>
      <w:rFonts w:ascii="Calibri" w:eastAsia="Calibri" w:hAnsi="Calibri" w:cs="Times New Roman"/>
    </w:rPr>
  </w:style>
  <w:style w:type="paragraph" w:customStyle="1" w:styleId="Normal0">
    <w:name w:val="[Normal]"/>
    <w:rsid w:val="00EE3F71"/>
    <w:pPr>
      <w:autoSpaceDE w:val="0"/>
      <w:autoSpaceDN w:val="0"/>
      <w:adjustRightInd w:val="0"/>
      <w:spacing w:after="0" w:line="240" w:lineRule="auto"/>
    </w:pPr>
    <w:rPr>
      <w:rFonts w:ascii="Arial" w:eastAsia="Times New Roman" w:hAnsi="Arial" w:cs="Arial"/>
      <w:sz w:val="24"/>
      <w:szCs w:val="24"/>
      <w:lang w:eastAsia="tr-TR"/>
    </w:rPr>
  </w:style>
  <w:style w:type="character" w:customStyle="1" w:styleId="Heading8Char">
    <w:name w:val="Heading 8 Char"/>
    <w:basedOn w:val="DefaultParagraphFont"/>
    <w:link w:val="Heading8"/>
    <w:uiPriority w:val="99"/>
    <w:rsid w:val="00D924A5"/>
    <w:rPr>
      <w:rFonts w:ascii="Times New Roman" w:eastAsia="Times New Roman" w:hAnsi="Times New Roman" w:cs="Times New Roman"/>
      <w:b/>
      <w:i/>
      <w:sz w:val="24"/>
      <w:szCs w:val="20"/>
    </w:rPr>
  </w:style>
  <w:style w:type="paragraph" w:styleId="NormalWeb">
    <w:name w:val="Normal (Web)"/>
    <w:basedOn w:val="Normal"/>
    <w:uiPriority w:val="99"/>
    <w:unhideWhenUsed/>
    <w:rsid w:val="00A420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937A2B"/>
    <w:rPr>
      <w:color w:val="0000FF" w:themeColor="hyperlink"/>
      <w:u w:val="single"/>
    </w:rPr>
  </w:style>
  <w:style w:type="paragraph" w:styleId="Header">
    <w:name w:val="header"/>
    <w:basedOn w:val="Normal"/>
    <w:link w:val="HeaderChar"/>
    <w:uiPriority w:val="99"/>
    <w:unhideWhenUsed/>
    <w:rsid w:val="00D77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2C3"/>
  </w:style>
  <w:style w:type="paragraph" w:styleId="Footer">
    <w:name w:val="footer"/>
    <w:basedOn w:val="Normal"/>
    <w:link w:val="FooterChar"/>
    <w:uiPriority w:val="99"/>
    <w:unhideWhenUsed/>
    <w:rsid w:val="00D77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2C3"/>
  </w:style>
  <w:style w:type="table" w:styleId="TableGrid">
    <w:name w:val="Table Grid"/>
    <w:basedOn w:val="TableNormal"/>
    <w:uiPriority w:val="59"/>
    <w:rsid w:val="00D7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14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B145B"/>
    <w:rPr>
      <w:rFonts w:eastAsiaTheme="minorEastAsia"/>
      <w:lang w:val="en-US" w:eastAsia="ja-JP"/>
    </w:rPr>
  </w:style>
  <w:style w:type="paragraph" w:styleId="BalloonText">
    <w:name w:val="Balloon Text"/>
    <w:basedOn w:val="Normal"/>
    <w:link w:val="BalloonTextChar"/>
    <w:uiPriority w:val="99"/>
    <w:semiHidden/>
    <w:unhideWhenUsed/>
    <w:rsid w:val="00DB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5B"/>
    <w:rPr>
      <w:rFonts w:ascii="Tahoma" w:hAnsi="Tahoma" w:cs="Tahoma"/>
      <w:sz w:val="16"/>
      <w:szCs w:val="16"/>
    </w:rPr>
  </w:style>
  <w:style w:type="character" w:customStyle="1" w:styleId="Heading1Char">
    <w:name w:val="Heading 1 Char"/>
    <w:basedOn w:val="DefaultParagraphFont"/>
    <w:link w:val="Heading1"/>
    <w:uiPriority w:val="9"/>
    <w:rsid w:val="00DB1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F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76F30"/>
    <w:pPr>
      <w:outlineLvl w:val="9"/>
    </w:pPr>
    <w:rPr>
      <w:lang w:val="en-US" w:eastAsia="ja-JP"/>
    </w:rPr>
  </w:style>
  <w:style w:type="paragraph" w:styleId="TOC1">
    <w:name w:val="toc 1"/>
    <w:basedOn w:val="Normal"/>
    <w:next w:val="Normal"/>
    <w:autoRedefine/>
    <w:uiPriority w:val="39"/>
    <w:unhideWhenUsed/>
    <w:rsid w:val="00976F30"/>
    <w:pPr>
      <w:spacing w:after="100"/>
    </w:pPr>
  </w:style>
  <w:style w:type="paragraph" w:styleId="TOC2">
    <w:name w:val="toc 2"/>
    <w:basedOn w:val="Normal"/>
    <w:next w:val="Normal"/>
    <w:autoRedefine/>
    <w:uiPriority w:val="39"/>
    <w:unhideWhenUsed/>
    <w:rsid w:val="00976F30"/>
    <w:pPr>
      <w:spacing w:after="100"/>
      <w:ind w:left="220"/>
    </w:pPr>
  </w:style>
  <w:style w:type="paragraph" w:styleId="Title">
    <w:name w:val="Title"/>
    <w:basedOn w:val="Normal"/>
    <w:next w:val="Normal"/>
    <w:link w:val="TitleChar"/>
    <w:uiPriority w:val="10"/>
    <w:qFormat/>
    <w:rsid w:val="00976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F3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21A4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04001"/>
    <w:pPr>
      <w:spacing w:after="100"/>
      <w:ind w:left="440"/>
    </w:pPr>
  </w:style>
  <w:style w:type="paragraph" w:styleId="Quote">
    <w:name w:val="Quote"/>
    <w:basedOn w:val="Normal"/>
    <w:next w:val="Normal"/>
    <w:link w:val="QuoteChar"/>
    <w:uiPriority w:val="29"/>
    <w:qFormat/>
    <w:rsid w:val="00166EAD"/>
    <w:rPr>
      <w:i/>
      <w:iCs/>
      <w:color w:val="000000" w:themeColor="text1"/>
    </w:rPr>
  </w:style>
  <w:style w:type="character" w:customStyle="1" w:styleId="QuoteChar">
    <w:name w:val="Quote Char"/>
    <w:basedOn w:val="DefaultParagraphFont"/>
    <w:link w:val="Quote"/>
    <w:uiPriority w:val="29"/>
    <w:rsid w:val="00166EAD"/>
    <w:rPr>
      <w:i/>
      <w:iCs/>
      <w:color w:val="000000" w:themeColor="text1"/>
    </w:rPr>
  </w:style>
  <w:style w:type="table" w:styleId="LightShading-Accent1">
    <w:name w:val="Light Shading Accent 1"/>
    <w:basedOn w:val="TableNormal"/>
    <w:uiPriority w:val="60"/>
    <w:rsid w:val="007974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uiPriority w:val="22"/>
    <w:qFormat/>
    <w:rsid w:val="00323127"/>
    <w:rPr>
      <w:b/>
      <w:bCs/>
    </w:rPr>
  </w:style>
  <w:style w:type="character" w:customStyle="1" w:styleId="Heading4Char">
    <w:name w:val="Heading 4 Char"/>
    <w:basedOn w:val="DefaultParagraphFont"/>
    <w:link w:val="Heading4"/>
    <w:uiPriority w:val="9"/>
    <w:rsid w:val="00323127"/>
    <w:rPr>
      <w:rFonts w:asciiTheme="majorHAnsi" w:eastAsiaTheme="majorEastAsia" w:hAnsiTheme="majorHAnsi" w:cstheme="majorBidi"/>
      <w:b/>
      <w:bCs/>
      <w:i/>
      <w:iCs/>
      <w:color w:val="4F81BD" w:themeColor="accent1"/>
    </w:rPr>
  </w:style>
  <w:style w:type="table" w:styleId="LightShading">
    <w:name w:val="Light Shading"/>
    <w:basedOn w:val="TableNormal"/>
    <w:uiPriority w:val="60"/>
    <w:rsid w:val="00C152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tegorydata3">
    <w:name w:val="category_data3"/>
    <w:rsid w:val="00BE1168"/>
    <w:rPr>
      <w:rFonts w:ascii="Arial" w:hAnsi="Arial" w:cs="Arial" w:hint="default"/>
      <w:spacing w:val="14"/>
      <w:sz w:val="16"/>
      <w:szCs w:val="16"/>
    </w:rPr>
  </w:style>
  <w:style w:type="table" w:styleId="LightShading-Accent5">
    <w:name w:val="Light Shading Accent 5"/>
    <w:basedOn w:val="TableNormal"/>
    <w:uiPriority w:val="60"/>
    <w:rsid w:val="00BE11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7550">
      <w:bodyDiv w:val="1"/>
      <w:marLeft w:val="0"/>
      <w:marRight w:val="0"/>
      <w:marTop w:val="0"/>
      <w:marBottom w:val="0"/>
      <w:divBdr>
        <w:top w:val="none" w:sz="0" w:space="0" w:color="auto"/>
        <w:left w:val="none" w:sz="0" w:space="0" w:color="auto"/>
        <w:bottom w:val="none" w:sz="0" w:space="0" w:color="auto"/>
        <w:right w:val="none" w:sz="0" w:space="0" w:color="auto"/>
      </w:divBdr>
    </w:div>
    <w:div w:id="266929925">
      <w:bodyDiv w:val="1"/>
      <w:marLeft w:val="0"/>
      <w:marRight w:val="0"/>
      <w:marTop w:val="0"/>
      <w:marBottom w:val="0"/>
      <w:divBdr>
        <w:top w:val="none" w:sz="0" w:space="0" w:color="auto"/>
        <w:left w:val="none" w:sz="0" w:space="0" w:color="auto"/>
        <w:bottom w:val="none" w:sz="0" w:space="0" w:color="auto"/>
        <w:right w:val="none" w:sz="0" w:space="0" w:color="auto"/>
      </w:divBdr>
    </w:div>
    <w:div w:id="363137843">
      <w:bodyDiv w:val="1"/>
      <w:marLeft w:val="0"/>
      <w:marRight w:val="0"/>
      <w:marTop w:val="0"/>
      <w:marBottom w:val="0"/>
      <w:divBdr>
        <w:top w:val="none" w:sz="0" w:space="0" w:color="auto"/>
        <w:left w:val="none" w:sz="0" w:space="0" w:color="auto"/>
        <w:bottom w:val="none" w:sz="0" w:space="0" w:color="auto"/>
        <w:right w:val="none" w:sz="0" w:space="0" w:color="auto"/>
      </w:divBdr>
    </w:div>
    <w:div w:id="404962991">
      <w:bodyDiv w:val="1"/>
      <w:marLeft w:val="0"/>
      <w:marRight w:val="0"/>
      <w:marTop w:val="0"/>
      <w:marBottom w:val="0"/>
      <w:divBdr>
        <w:top w:val="none" w:sz="0" w:space="0" w:color="auto"/>
        <w:left w:val="none" w:sz="0" w:space="0" w:color="auto"/>
        <w:bottom w:val="none" w:sz="0" w:space="0" w:color="auto"/>
        <w:right w:val="none" w:sz="0" w:space="0" w:color="auto"/>
      </w:divBdr>
    </w:div>
    <w:div w:id="508060928">
      <w:bodyDiv w:val="1"/>
      <w:marLeft w:val="0"/>
      <w:marRight w:val="0"/>
      <w:marTop w:val="0"/>
      <w:marBottom w:val="0"/>
      <w:divBdr>
        <w:top w:val="none" w:sz="0" w:space="0" w:color="auto"/>
        <w:left w:val="none" w:sz="0" w:space="0" w:color="auto"/>
        <w:bottom w:val="none" w:sz="0" w:space="0" w:color="auto"/>
        <w:right w:val="none" w:sz="0" w:space="0" w:color="auto"/>
      </w:divBdr>
    </w:div>
    <w:div w:id="757023372">
      <w:bodyDiv w:val="1"/>
      <w:marLeft w:val="0"/>
      <w:marRight w:val="0"/>
      <w:marTop w:val="0"/>
      <w:marBottom w:val="0"/>
      <w:divBdr>
        <w:top w:val="none" w:sz="0" w:space="0" w:color="auto"/>
        <w:left w:val="none" w:sz="0" w:space="0" w:color="auto"/>
        <w:bottom w:val="none" w:sz="0" w:space="0" w:color="auto"/>
        <w:right w:val="none" w:sz="0" w:space="0" w:color="auto"/>
      </w:divBdr>
    </w:div>
    <w:div w:id="827132379">
      <w:bodyDiv w:val="1"/>
      <w:marLeft w:val="0"/>
      <w:marRight w:val="0"/>
      <w:marTop w:val="0"/>
      <w:marBottom w:val="0"/>
      <w:divBdr>
        <w:top w:val="none" w:sz="0" w:space="0" w:color="auto"/>
        <w:left w:val="none" w:sz="0" w:space="0" w:color="auto"/>
        <w:bottom w:val="none" w:sz="0" w:space="0" w:color="auto"/>
        <w:right w:val="none" w:sz="0" w:space="0" w:color="auto"/>
      </w:divBdr>
    </w:div>
    <w:div w:id="850681809">
      <w:bodyDiv w:val="1"/>
      <w:marLeft w:val="0"/>
      <w:marRight w:val="0"/>
      <w:marTop w:val="0"/>
      <w:marBottom w:val="0"/>
      <w:divBdr>
        <w:top w:val="none" w:sz="0" w:space="0" w:color="auto"/>
        <w:left w:val="none" w:sz="0" w:space="0" w:color="auto"/>
        <w:bottom w:val="none" w:sz="0" w:space="0" w:color="auto"/>
        <w:right w:val="none" w:sz="0" w:space="0" w:color="auto"/>
      </w:divBdr>
    </w:div>
    <w:div w:id="877931016">
      <w:bodyDiv w:val="1"/>
      <w:marLeft w:val="0"/>
      <w:marRight w:val="0"/>
      <w:marTop w:val="0"/>
      <w:marBottom w:val="0"/>
      <w:divBdr>
        <w:top w:val="none" w:sz="0" w:space="0" w:color="auto"/>
        <w:left w:val="none" w:sz="0" w:space="0" w:color="auto"/>
        <w:bottom w:val="none" w:sz="0" w:space="0" w:color="auto"/>
        <w:right w:val="none" w:sz="0" w:space="0" w:color="auto"/>
      </w:divBdr>
    </w:div>
    <w:div w:id="924723026">
      <w:bodyDiv w:val="1"/>
      <w:marLeft w:val="0"/>
      <w:marRight w:val="0"/>
      <w:marTop w:val="0"/>
      <w:marBottom w:val="0"/>
      <w:divBdr>
        <w:top w:val="none" w:sz="0" w:space="0" w:color="auto"/>
        <w:left w:val="none" w:sz="0" w:space="0" w:color="auto"/>
        <w:bottom w:val="none" w:sz="0" w:space="0" w:color="auto"/>
        <w:right w:val="none" w:sz="0" w:space="0" w:color="auto"/>
      </w:divBdr>
    </w:div>
    <w:div w:id="985622276">
      <w:bodyDiv w:val="1"/>
      <w:marLeft w:val="0"/>
      <w:marRight w:val="0"/>
      <w:marTop w:val="0"/>
      <w:marBottom w:val="0"/>
      <w:divBdr>
        <w:top w:val="none" w:sz="0" w:space="0" w:color="auto"/>
        <w:left w:val="none" w:sz="0" w:space="0" w:color="auto"/>
        <w:bottom w:val="none" w:sz="0" w:space="0" w:color="auto"/>
        <w:right w:val="none" w:sz="0" w:space="0" w:color="auto"/>
      </w:divBdr>
    </w:div>
    <w:div w:id="1008674232">
      <w:bodyDiv w:val="1"/>
      <w:marLeft w:val="0"/>
      <w:marRight w:val="0"/>
      <w:marTop w:val="0"/>
      <w:marBottom w:val="0"/>
      <w:divBdr>
        <w:top w:val="none" w:sz="0" w:space="0" w:color="auto"/>
        <w:left w:val="none" w:sz="0" w:space="0" w:color="auto"/>
        <w:bottom w:val="none" w:sz="0" w:space="0" w:color="auto"/>
        <w:right w:val="none" w:sz="0" w:space="0" w:color="auto"/>
      </w:divBdr>
    </w:div>
    <w:div w:id="1061904350">
      <w:bodyDiv w:val="1"/>
      <w:marLeft w:val="0"/>
      <w:marRight w:val="0"/>
      <w:marTop w:val="0"/>
      <w:marBottom w:val="0"/>
      <w:divBdr>
        <w:top w:val="none" w:sz="0" w:space="0" w:color="auto"/>
        <w:left w:val="none" w:sz="0" w:space="0" w:color="auto"/>
        <w:bottom w:val="none" w:sz="0" w:space="0" w:color="auto"/>
        <w:right w:val="none" w:sz="0" w:space="0" w:color="auto"/>
      </w:divBdr>
    </w:div>
    <w:div w:id="1128746909">
      <w:bodyDiv w:val="1"/>
      <w:marLeft w:val="0"/>
      <w:marRight w:val="0"/>
      <w:marTop w:val="0"/>
      <w:marBottom w:val="0"/>
      <w:divBdr>
        <w:top w:val="none" w:sz="0" w:space="0" w:color="auto"/>
        <w:left w:val="none" w:sz="0" w:space="0" w:color="auto"/>
        <w:bottom w:val="none" w:sz="0" w:space="0" w:color="auto"/>
        <w:right w:val="none" w:sz="0" w:space="0" w:color="auto"/>
      </w:divBdr>
    </w:div>
    <w:div w:id="1177765408">
      <w:bodyDiv w:val="1"/>
      <w:marLeft w:val="0"/>
      <w:marRight w:val="0"/>
      <w:marTop w:val="0"/>
      <w:marBottom w:val="0"/>
      <w:divBdr>
        <w:top w:val="none" w:sz="0" w:space="0" w:color="auto"/>
        <w:left w:val="none" w:sz="0" w:space="0" w:color="auto"/>
        <w:bottom w:val="none" w:sz="0" w:space="0" w:color="auto"/>
        <w:right w:val="none" w:sz="0" w:space="0" w:color="auto"/>
      </w:divBdr>
    </w:div>
    <w:div w:id="1326711260">
      <w:bodyDiv w:val="1"/>
      <w:marLeft w:val="0"/>
      <w:marRight w:val="0"/>
      <w:marTop w:val="0"/>
      <w:marBottom w:val="0"/>
      <w:divBdr>
        <w:top w:val="none" w:sz="0" w:space="0" w:color="auto"/>
        <w:left w:val="none" w:sz="0" w:space="0" w:color="auto"/>
        <w:bottom w:val="none" w:sz="0" w:space="0" w:color="auto"/>
        <w:right w:val="none" w:sz="0" w:space="0" w:color="auto"/>
      </w:divBdr>
      <w:divsChild>
        <w:div w:id="1258517531">
          <w:marLeft w:val="0"/>
          <w:marRight w:val="0"/>
          <w:marTop w:val="0"/>
          <w:marBottom w:val="0"/>
          <w:divBdr>
            <w:top w:val="none" w:sz="0" w:space="0" w:color="auto"/>
            <w:left w:val="none" w:sz="0" w:space="0" w:color="auto"/>
            <w:bottom w:val="none" w:sz="0" w:space="0" w:color="auto"/>
            <w:right w:val="none" w:sz="0" w:space="0" w:color="auto"/>
          </w:divBdr>
        </w:div>
      </w:divsChild>
    </w:div>
    <w:div w:id="1481189449">
      <w:bodyDiv w:val="1"/>
      <w:marLeft w:val="0"/>
      <w:marRight w:val="0"/>
      <w:marTop w:val="0"/>
      <w:marBottom w:val="0"/>
      <w:divBdr>
        <w:top w:val="none" w:sz="0" w:space="0" w:color="auto"/>
        <w:left w:val="none" w:sz="0" w:space="0" w:color="auto"/>
        <w:bottom w:val="none" w:sz="0" w:space="0" w:color="auto"/>
        <w:right w:val="none" w:sz="0" w:space="0" w:color="auto"/>
      </w:divBdr>
    </w:div>
    <w:div w:id="1603338262">
      <w:bodyDiv w:val="1"/>
      <w:marLeft w:val="0"/>
      <w:marRight w:val="0"/>
      <w:marTop w:val="0"/>
      <w:marBottom w:val="0"/>
      <w:divBdr>
        <w:top w:val="none" w:sz="0" w:space="0" w:color="auto"/>
        <w:left w:val="none" w:sz="0" w:space="0" w:color="auto"/>
        <w:bottom w:val="none" w:sz="0" w:space="0" w:color="auto"/>
        <w:right w:val="none" w:sz="0" w:space="0" w:color="auto"/>
      </w:divBdr>
    </w:div>
    <w:div w:id="1664971254">
      <w:bodyDiv w:val="1"/>
      <w:marLeft w:val="0"/>
      <w:marRight w:val="0"/>
      <w:marTop w:val="0"/>
      <w:marBottom w:val="0"/>
      <w:divBdr>
        <w:top w:val="none" w:sz="0" w:space="0" w:color="auto"/>
        <w:left w:val="none" w:sz="0" w:space="0" w:color="auto"/>
        <w:bottom w:val="none" w:sz="0" w:space="0" w:color="auto"/>
        <w:right w:val="none" w:sz="0" w:space="0" w:color="auto"/>
      </w:divBdr>
    </w:div>
    <w:div w:id="1878464327">
      <w:bodyDiv w:val="1"/>
      <w:marLeft w:val="0"/>
      <w:marRight w:val="0"/>
      <w:marTop w:val="0"/>
      <w:marBottom w:val="0"/>
      <w:divBdr>
        <w:top w:val="none" w:sz="0" w:space="0" w:color="auto"/>
        <w:left w:val="none" w:sz="0" w:space="0" w:color="auto"/>
        <w:bottom w:val="none" w:sz="0" w:space="0" w:color="auto"/>
        <w:right w:val="none" w:sz="0" w:space="0" w:color="auto"/>
      </w:divBdr>
    </w:div>
    <w:div w:id="1984699887">
      <w:bodyDiv w:val="1"/>
      <w:marLeft w:val="0"/>
      <w:marRight w:val="0"/>
      <w:marTop w:val="0"/>
      <w:marBottom w:val="0"/>
      <w:divBdr>
        <w:top w:val="none" w:sz="0" w:space="0" w:color="auto"/>
        <w:left w:val="none" w:sz="0" w:space="0" w:color="auto"/>
        <w:bottom w:val="none" w:sz="0" w:space="0" w:color="auto"/>
        <w:right w:val="none" w:sz="0" w:space="0" w:color="auto"/>
      </w:divBdr>
    </w:div>
    <w:div w:id="19957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ins.nat.tn" TargetMode="External"/><Relationship Id="rId3" Type="http://schemas.openxmlformats.org/officeDocument/2006/relationships/numbering" Target="numbering.xml"/><Relationship Id="rId21" Type="http://schemas.openxmlformats.org/officeDocument/2006/relationships/hyperlink" Target="http://www.musavirlikler.gov.t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at.ankara@superonline.com" TargetMode="External"/><Relationship Id="rId2" Type="http://schemas.openxmlformats.org/officeDocument/2006/relationships/customXml" Target="../customXml/item2.xml"/><Relationship Id="rId16" Type="http://schemas.openxmlformats.org/officeDocument/2006/relationships/hyperlink" Target="mailto:tunus@ekonomi.gov.tr" TargetMode="External"/><Relationship Id="rId20" Type="http://schemas.openxmlformats.org/officeDocument/2006/relationships/hyperlink" Target="http://www.utica.org.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africa@deik.org.t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nvestintunisia.t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tica.org.t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08A2F3-6246-4B7D-B685-4C3F39E7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6255</Words>
  <Characters>41660</Characters>
  <Application>Microsoft Office Word</Application>
  <DocSecurity>0</DocSecurity>
  <Lines>991</Lines>
  <Paragraphs>447</Paragraphs>
  <ScaleCrop>false</ScaleCrop>
  <HeadingPairs>
    <vt:vector size="2" baseType="variant">
      <vt:variant>
        <vt:lpstr>Title</vt:lpstr>
      </vt:variant>
      <vt:variant>
        <vt:i4>1</vt:i4>
      </vt:variant>
    </vt:vector>
  </HeadingPairs>
  <TitlesOfParts>
    <vt:vector size="1" baseType="lpstr">
      <vt:lpstr>Ülke Bülteni</vt:lpstr>
    </vt:vector>
  </TitlesOfParts>
  <Company/>
  <LinksUpToDate>false</LinksUpToDate>
  <CharactersWithSpaces>47468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Ülke Bülteni</dc:title>
  <dc:subject>Tunus</dc:subject>
  <dc:creator>Afrika Staj</dc:creator>
  <cp:lastModifiedBy>Baris Cuvalci</cp:lastModifiedBy>
  <cp:revision>3</cp:revision>
  <dcterms:created xsi:type="dcterms:W3CDTF">2017-07-04T14:21:00Z</dcterms:created>
  <dcterms:modified xsi:type="dcterms:W3CDTF">2017-07-04T14:27:00Z</dcterms:modified>
</cp:coreProperties>
</file>